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71806" w14:textId="77777777" w:rsidR="005B043D" w:rsidRPr="00367678" w:rsidRDefault="005B043D" w:rsidP="005B043D">
      <w:pPr>
        <w:jc w:val="center"/>
      </w:pPr>
      <w:r w:rsidRPr="00367678">
        <w:rPr>
          <w:noProof/>
          <w:sz w:val="20"/>
          <w:szCs w:val="20"/>
        </w:rPr>
        <w:drawing>
          <wp:inline distT="0" distB="0" distL="0" distR="0" wp14:anchorId="31946A69" wp14:editId="74EF7E79">
            <wp:extent cx="1920047" cy="1178896"/>
            <wp:effectExtent l="0" t="0" r="4445" b="2540"/>
            <wp:docPr id="3" name="Picture 2" descr="Shoreline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logo.jpg"/>
                    <pic:cNvPicPr/>
                  </pic:nvPicPr>
                  <pic:blipFill>
                    <a:blip r:embed="rId8" cstate="print">
                      <a:lum bright="14000"/>
                      <a:extLst>
                        <a:ext uri="{28A0092B-C50C-407E-A947-70E740481C1C}">
                          <a14:useLocalDpi xmlns:a14="http://schemas.microsoft.com/office/drawing/2010/main" val="0"/>
                        </a:ext>
                      </a:extLst>
                    </a:blip>
                    <a:stretch>
                      <a:fillRect/>
                    </a:stretch>
                  </pic:blipFill>
                  <pic:spPr>
                    <a:xfrm>
                      <a:off x="0" y="0"/>
                      <a:ext cx="1946547" cy="1195167"/>
                    </a:xfrm>
                    <a:prstGeom prst="rect">
                      <a:avLst/>
                    </a:prstGeom>
                    <a:noFill/>
                    <a:ln>
                      <a:noFill/>
                    </a:ln>
                  </pic:spPr>
                </pic:pic>
              </a:graphicData>
            </a:graphic>
          </wp:inline>
        </w:drawing>
      </w:r>
    </w:p>
    <w:p w14:paraId="08DF31E2" w14:textId="77777777" w:rsidR="0051450D" w:rsidRDefault="0051450D" w:rsidP="00747EA8">
      <w:pPr>
        <w:spacing w:before="840"/>
        <w:jc w:val="center"/>
        <w:rPr>
          <w:rFonts w:ascii="Arial Black" w:hAnsi="Arial Black"/>
          <w:sz w:val="44"/>
          <w:szCs w:val="44"/>
        </w:rPr>
      </w:pPr>
      <w:r w:rsidRPr="005B043D">
        <w:rPr>
          <w:rFonts w:ascii="Arial Black" w:hAnsi="Arial Black"/>
          <w:sz w:val="44"/>
          <w:szCs w:val="44"/>
        </w:rPr>
        <w:t>Mid-Cycle Self-Evaluation Report</w:t>
      </w:r>
      <w:r>
        <w:rPr>
          <w:rFonts w:ascii="Arial Black" w:hAnsi="Arial Black"/>
          <w:sz w:val="44"/>
          <w:szCs w:val="44"/>
        </w:rPr>
        <w:t xml:space="preserve"> </w:t>
      </w:r>
    </w:p>
    <w:p w14:paraId="6FF3D672" w14:textId="75102EC5" w:rsidR="00350185" w:rsidRPr="0051450D" w:rsidRDefault="00350185" w:rsidP="00350185">
      <w:pPr>
        <w:jc w:val="center"/>
        <w:rPr>
          <w:sz w:val="44"/>
          <w:szCs w:val="44"/>
        </w:rPr>
      </w:pPr>
      <w:r w:rsidRPr="0051450D">
        <w:rPr>
          <w:sz w:val="44"/>
          <w:szCs w:val="44"/>
        </w:rPr>
        <w:t>APPENDICES</w:t>
      </w:r>
    </w:p>
    <w:p w14:paraId="23875DBA" w14:textId="77777777" w:rsidR="0051450D" w:rsidRPr="005B043D" w:rsidRDefault="0051450D" w:rsidP="00747EA8">
      <w:pPr>
        <w:spacing w:before="1320"/>
        <w:jc w:val="center"/>
        <w:rPr>
          <w:rFonts w:ascii="Arial Black" w:hAnsi="Arial Black" w:cs="Arial"/>
        </w:rPr>
      </w:pPr>
      <w:r w:rsidRPr="005B043D">
        <w:rPr>
          <w:rFonts w:ascii="Arial Black" w:hAnsi="Arial Black" w:cs="Arial"/>
        </w:rPr>
        <w:t>Submitted to the Northwest Commission on College</w:t>
      </w:r>
      <w:r>
        <w:rPr>
          <w:rFonts w:ascii="Arial Black" w:hAnsi="Arial Black" w:cs="Arial"/>
        </w:rPr>
        <w:t>s</w:t>
      </w:r>
      <w:r w:rsidRPr="005B043D">
        <w:rPr>
          <w:rFonts w:ascii="Arial Black" w:hAnsi="Arial Black" w:cs="Arial"/>
        </w:rPr>
        <w:t xml:space="preserve"> and Universities</w:t>
      </w:r>
    </w:p>
    <w:p w14:paraId="1B2360C5" w14:textId="0E3DEAA2" w:rsidR="0051450D" w:rsidRPr="00A77646" w:rsidRDefault="00223117" w:rsidP="0051450D">
      <w:pPr>
        <w:jc w:val="center"/>
        <w:rPr>
          <w:rFonts w:ascii="Arial Black" w:hAnsi="Arial Black"/>
          <w:sz w:val="28"/>
          <w:szCs w:val="28"/>
        </w:rPr>
      </w:pPr>
      <w:r>
        <w:rPr>
          <w:rFonts w:ascii="Arial Black" w:hAnsi="Arial Black"/>
          <w:sz w:val="28"/>
          <w:szCs w:val="28"/>
        </w:rPr>
        <w:t>September 23</w:t>
      </w:r>
      <w:r w:rsidR="0051450D" w:rsidRPr="00A77646">
        <w:rPr>
          <w:rFonts w:ascii="Arial Black" w:hAnsi="Arial Black"/>
          <w:sz w:val="28"/>
          <w:szCs w:val="28"/>
        </w:rPr>
        <w:t>, 2015</w:t>
      </w:r>
    </w:p>
    <w:p w14:paraId="1A0C7780" w14:textId="77777777" w:rsidR="005B043D" w:rsidRPr="00367678" w:rsidRDefault="005B043D" w:rsidP="00B15B45"/>
    <w:p w14:paraId="6B5121C5" w14:textId="77777777" w:rsidR="005B043D" w:rsidRPr="00367678" w:rsidRDefault="005B043D" w:rsidP="00B15B45"/>
    <w:p w14:paraId="22898338" w14:textId="77777777" w:rsidR="00B15B45" w:rsidRPr="00367678" w:rsidRDefault="00B15B45" w:rsidP="00B15B45">
      <w:pPr>
        <w:sectPr w:rsidR="00B15B45" w:rsidRPr="00367678" w:rsidSect="00B15B45">
          <w:footerReference w:type="default" r:id="rId9"/>
          <w:pgSz w:w="12240" w:h="15840"/>
          <w:pgMar w:top="1440" w:right="1440" w:bottom="1440" w:left="1440" w:header="720" w:footer="720" w:gutter="0"/>
          <w:cols w:space="720"/>
          <w:titlePg/>
          <w:docGrid w:linePitch="360"/>
        </w:sectPr>
      </w:pPr>
    </w:p>
    <w:p w14:paraId="1BCE81D3" w14:textId="69386B43" w:rsidR="00350185" w:rsidRPr="00367678" w:rsidRDefault="00350185" w:rsidP="00350185">
      <w:pPr>
        <w:pStyle w:val="Heading1"/>
      </w:pPr>
      <w:r w:rsidRPr="00367678">
        <w:lastRenderedPageBreak/>
        <w:t>Appendix A</w:t>
      </w:r>
      <w:r w:rsidR="00085234" w:rsidRPr="00367678">
        <w:t>:  Responses to Recommendations</w:t>
      </w:r>
    </w:p>
    <w:p w14:paraId="5C574EF9" w14:textId="77777777" w:rsidR="00350185" w:rsidRPr="00367678" w:rsidRDefault="00350185" w:rsidP="00350185">
      <w:pPr>
        <w:pStyle w:val="Heading2"/>
      </w:pPr>
      <w:r w:rsidRPr="00367678">
        <w:t>Recommendation 1</w:t>
      </w:r>
    </w:p>
    <w:p w14:paraId="1C7D7FB3" w14:textId="77777777" w:rsidR="00350185" w:rsidRPr="00B00966" w:rsidRDefault="00350185" w:rsidP="00350185">
      <w:pPr>
        <w:pStyle w:val="BodyText"/>
        <w:rPr>
          <w:i/>
        </w:rPr>
      </w:pPr>
      <w:r w:rsidRPr="00B00966">
        <w:rPr>
          <w:i/>
        </w:rPr>
        <w:t>The Evaluation Committee found evidence that several difficult years of financial retrenchment and restructuring, coupled with new entrepreneurial initiatives, have resulted in incomplete integration and alignment among the mission, core themes and current institutional initiatives and financial emphases of the college. The Evaluation Committee recommends that the college review the integration of the mission, core themes and current institutional initiatives and financial emphases of the college to ensure that they are fully aligned. (Standards 3.A.1 and 4.A.1)</w:t>
      </w:r>
    </w:p>
    <w:p w14:paraId="1598B652" w14:textId="77777777" w:rsidR="00350185" w:rsidRPr="00367678" w:rsidRDefault="00350185" w:rsidP="00350185">
      <w:pPr>
        <w:pStyle w:val="Heading2"/>
      </w:pPr>
      <w:r w:rsidRPr="00367678">
        <w:t>Shoreline Response</w:t>
      </w:r>
    </w:p>
    <w:p w14:paraId="1E97156C" w14:textId="4D47C18C" w:rsidR="00350185" w:rsidRPr="00724B4F" w:rsidRDefault="00F36BCE" w:rsidP="00350185">
      <w:pPr>
        <w:pStyle w:val="BodyText"/>
      </w:pPr>
      <w:r>
        <w:t>To</w:t>
      </w:r>
      <w:r w:rsidR="00724B4F">
        <w:t xml:space="preserve"> ensure that resource allocation is aligned with the strategic plan and Core Themes, Shoreline developed a process </w:t>
      </w:r>
      <w:r>
        <w:t xml:space="preserve">in 2013 </w:t>
      </w:r>
      <w:r w:rsidR="00724B4F">
        <w:t>by which departments submit abbreviated Strategic Action Plans (</w:t>
      </w:r>
      <w:proofErr w:type="spellStart"/>
      <w:r w:rsidR="00724B4F">
        <w:t>aSAP</w:t>
      </w:r>
      <w:r w:rsidR="00223117">
        <w:t>s</w:t>
      </w:r>
      <w:proofErr w:type="spellEnd"/>
      <w:r w:rsidR="00724B4F">
        <w:t>) to request funding for new, strategic work</w:t>
      </w:r>
      <w:r w:rsidR="00060433">
        <w:t>.  T</w:t>
      </w:r>
      <w:r>
        <w:t>he application requires</w:t>
      </w:r>
      <w:r w:rsidR="00724B4F">
        <w:t xml:space="preserve"> the following content</w:t>
      </w:r>
      <w:r w:rsidR="00350185" w:rsidRPr="00367678">
        <w:t xml:space="preserve">: </w:t>
      </w:r>
      <w:r w:rsidR="00060433">
        <w:t>(</w:t>
      </w:r>
      <w:r w:rsidR="00350185" w:rsidRPr="00367678">
        <w:t xml:space="preserve">1) the </w:t>
      </w:r>
      <w:r w:rsidR="00724B4F">
        <w:t xml:space="preserve">project </w:t>
      </w:r>
      <w:r w:rsidR="002421C9">
        <w:t>objective/summary;</w:t>
      </w:r>
      <w:r w:rsidR="00350185" w:rsidRPr="00367678">
        <w:t xml:space="preserve"> </w:t>
      </w:r>
      <w:r w:rsidR="00060433">
        <w:t>(</w:t>
      </w:r>
      <w:r w:rsidR="00350185" w:rsidRPr="00367678">
        <w:t xml:space="preserve">2) a </w:t>
      </w:r>
      <w:r w:rsidR="002421C9">
        <w:t>rationale descri</w:t>
      </w:r>
      <w:r w:rsidR="00223117">
        <w:t>bing how the project contributes</w:t>
      </w:r>
      <w:r w:rsidR="002421C9">
        <w:t xml:space="preserve"> to the strategic plan and Core Themes;</w:t>
      </w:r>
      <w:r w:rsidR="00350185" w:rsidRPr="00367678">
        <w:t xml:space="preserve"> </w:t>
      </w:r>
      <w:r w:rsidR="00060433">
        <w:t>(</w:t>
      </w:r>
      <w:r w:rsidR="00350185" w:rsidRPr="00367678">
        <w:t xml:space="preserve">3) action steps </w:t>
      </w:r>
      <w:r w:rsidR="002421C9">
        <w:t xml:space="preserve">to be taken if funded; </w:t>
      </w:r>
      <w:r w:rsidR="00060433">
        <w:t>(</w:t>
      </w:r>
      <w:r w:rsidR="002421C9">
        <w:t xml:space="preserve">4) the Core Theme(s) being supported; </w:t>
      </w:r>
      <w:r w:rsidR="00060433">
        <w:t>(</w:t>
      </w:r>
      <w:r w:rsidR="00350185" w:rsidRPr="00367678">
        <w:t>5) the strategic initiative/goal being supp</w:t>
      </w:r>
      <w:r w:rsidR="002421C9">
        <w:t xml:space="preserve">orted; </w:t>
      </w:r>
      <w:r w:rsidR="00350185" w:rsidRPr="00367678">
        <w:t xml:space="preserve">and </w:t>
      </w:r>
      <w:r w:rsidR="00060433">
        <w:t>(</w:t>
      </w:r>
      <w:r w:rsidR="00350185" w:rsidRPr="00367678">
        <w:t xml:space="preserve">6) a </w:t>
      </w:r>
      <w:r w:rsidR="002421C9">
        <w:t>method for evaluating success</w:t>
      </w:r>
      <w:r w:rsidR="00350185" w:rsidRPr="00367678">
        <w:t>. The proposals are rev</w:t>
      </w:r>
      <w:r w:rsidR="00060433">
        <w:t xml:space="preserve">iewed by the Strategic Planning and </w:t>
      </w:r>
      <w:r w:rsidR="00350185" w:rsidRPr="00367678">
        <w:t>Budget</w:t>
      </w:r>
      <w:r w:rsidR="00060433">
        <w:t>ing</w:t>
      </w:r>
      <w:r w:rsidR="00350185" w:rsidRPr="00367678">
        <w:t xml:space="preserve"> Committe</w:t>
      </w:r>
      <w:r w:rsidR="002421C9">
        <w:t>e (SPBC) and the Dean Team for the extent to which they al</w:t>
      </w:r>
      <w:r>
        <w:t>ign</w:t>
      </w:r>
      <w:r w:rsidR="002421C9">
        <w:t xml:space="preserve"> with the strategic plan and Core Themes</w:t>
      </w:r>
      <w:r w:rsidR="00350185" w:rsidRPr="00367678">
        <w:t xml:space="preserve">. These reviews are used by the Executive </w:t>
      </w:r>
      <w:r w:rsidR="007028BB">
        <w:t>Team (E</w:t>
      </w:r>
      <w:r w:rsidR="00350185" w:rsidRPr="00367678">
        <w:t>T) to make recommendations</w:t>
      </w:r>
      <w:r w:rsidR="002421C9">
        <w:t xml:space="preserve"> to the P</w:t>
      </w:r>
      <w:r w:rsidR="00350185" w:rsidRPr="00367678">
        <w:t>resident</w:t>
      </w:r>
      <w:r w:rsidR="002421C9">
        <w:t xml:space="preserve"> who then submits a final recommendation to the Board of Trustees as part of the annual budgeting process</w:t>
      </w:r>
      <w:r w:rsidR="00350185" w:rsidRPr="00367678">
        <w:t xml:space="preserve">.   </w:t>
      </w:r>
    </w:p>
    <w:p w14:paraId="251D9B77" w14:textId="4ED2CB92" w:rsidR="00350185" w:rsidRPr="00367678" w:rsidRDefault="00F36BCE" w:rsidP="00350185">
      <w:pPr>
        <w:pStyle w:val="BodyText"/>
      </w:pPr>
      <w:r>
        <w:t>Since 2013, this process has evolved,</w:t>
      </w:r>
      <w:r w:rsidR="00350185" w:rsidRPr="00367678">
        <w:t xml:space="preserve"> with refinements introduce</w:t>
      </w:r>
      <w:r w:rsidR="00CD0545">
        <w:t>d each year based on feedback from</w:t>
      </w:r>
      <w:r w:rsidR="00350185" w:rsidRPr="00367678">
        <w:t xml:space="preserve"> the campus community.  For example, the </w:t>
      </w:r>
      <w:r w:rsidR="00060433">
        <w:t>process for the budget year 2013-2014</w:t>
      </w:r>
      <w:r w:rsidR="00350185" w:rsidRPr="00367678">
        <w:t xml:space="preserve"> was critiqued for </w:t>
      </w:r>
      <w:r w:rsidR="00060433">
        <w:t>(</w:t>
      </w:r>
      <w:r w:rsidR="00350185" w:rsidRPr="00367678">
        <w:t>1) being difficult to submit and track</w:t>
      </w:r>
      <w:r w:rsidR="00060433">
        <w:t>; (</w:t>
      </w:r>
      <w:r w:rsidR="00350185" w:rsidRPr="00367678">
        <w:t xml:space="preserve">2) </w:t>
      </w:r>
      <w:r w:rsidR="00060433">
        <w:t>not providing requesters a forum to provide clarification or refinement during the review process; and</w:t>
      </w:r>
      <w:r w:rsidR="00350185" w:rsidRPr="00367678">
        <w:t xml:space="preserve"> </w:t>
      </w:r>
      <w:r w:rsidR="00060433">
        <w:t>(</w:t>
      </w:r>
      <w:r w:rsidR="00350185" w:rsidRPr="00367678">
        <w:t xml:space="preserve">3) </w:t>
      </w:r>
      <w:r w:rsidR="00060433">
        <w:t xml:space="preserve">requiring all requests for new funds, even those related to ongoing operations, to go through the </w:t>
      </w:r>
      <w:r>
        <w:t xml:space="preserve">full </w:t>
      </w:r>
      <w:proofErr w:type="spellStart"/>
      <w:r w:rsidR="00060433">
        <w:t>aSAP</w:t>
      </w:r>
      <w:proofErr w:type="spellEnd"/>
      <w:r w:rsidR="00060433">
        <w:t xml:space="preserve"> process.  </w:t>
      </w:r>
      <w:r w:rsidR="00350185" w:rsidRPr="00367678">
        <w:t xml:space="preserve">The first concern was addressed </w:t>
      </w:r>
      <w:r w:rsidR="00060433">
        <w:t xml:space="preserve">in 2014-2015 </w:t>
      </w:r>
      <w:r w:rsidR="00350185" w:rsidRPr="00367678">
        <w:t xml:space="preserve">by </w:t>
      </w:r>
      <w:r w:rsidR="00060433">
        <w:t xml:space="preserve">implementing </w:t>
      </w:r>
      <w:proofErr w:type="spellStart"/>
      <w:proofErr w:type="gramStart"/>
      <w:r w:rsidR="00060433">
        <w:t>aSAP</w:t>
      </w:r>
      <w:proofErr w:type="spellEnd"/>
      <w:proofErr w:type="gramEnd"/>
      <w:r w:rsidR="00060433">
        <w:t xml:space="preserve"> applications online and</w:t>
      </w:r>
      <w:r w:rsidR="00350185" w:rsidRPr="00367678">
        <w:t xml:space="preserve"> providing additional training on how to complete them.  The second </w:t>
      </w:r>
      <w:r w:rsidR="00085234" w:rsidRPr="00367678">
        <w:t xml:space="preserve">critique was addressed </w:t>
      </w:r>
      <w:r w:rsidR="00350185" w:rsidRPr="00367678">
        <w:t>by having the SPBC conduct</w:t>
      </w:r>
      <w:r w:rsidR="00085234" w:rsidRPr="00367678">
        <w:t xml:space="preserve"> a double-</w:t>
      </w:r>
      <w:r w:rsidR="00350185" w:rsidRPr="00367678">
        <w:t>review process with questions submitted to requesters bet</w:t>
      </w:r>
      <w:r w:rsidR="00C266C8">
        <w:t>ween the first and second review</w:t>
      </w:r>
      <w:r w:rsidR="00223117">
        <w:t>s</w:t>
      </w:r>
      <w:r w:rsidR="00C266C8">
        <w:t>, and responses to those questions considered in subsequent reviews</w:t>
      </w:r>
      <w:r w:rsidR="00350185" w:rsidRPr="00367678">
        <w:t xml:space="preserve">.  The Dean Team </w:t>
      </w:r>
      <w:r w:rsidR="00C34F27">
        <w:t xml:space="preserve">review format also changed, with division leads </w:t>
      </w:r>
      <w:r>
        <w:t>presenting</w:t>
      </w:r>
      <w:r w:rsidR="00C34F27">
        <w:t xml:space="preserve"> a summary and background for all of the </w:t>
      </w:r>
      <w:proofErr w:type="spellStart"/>
      <w:r w:rsidR="00C34F27">
        <w:t>aSAPs</w:t>
      </w:r>
      <w:proofErr w:type="spellEnd"/>
      <w:r w:rsidR="00C34F27">
        <w:t xml:space="preserve"> within their area, with time allotted for questions and answers.  In response to the third critique</w:t>
      </w:r>
      <w:r w:rsidR="00350185" w:rsidRPr="00367678">
        <w:t>, requests were divided into strategic and operational</w:t>
      </w:r>
      <w:r w:rsidR="00223117">
        <w:t xml:space="preserve"> categories</w:t>
      </w:r>
      <w:r w:rsidR="00350185" w:rsidRPr="00367678">
        <w:t xml:space="preserve">.  Strategic requests went through the </w:t>
      </w:r>
      <w:proofErr w:type="spellStart"/>
      <w:proofErr w:type="gramStart"/>
      <w:r w:rsidR="009872EE">
        <w:t>aSAP</w:t>
      </w:r>
      <w:proofErr w:type="spellEnd"/>
      <w:proofErr w:type="gramEnd"/>
      <w:r w:rsidR="009872EE">
        <w:t xml:space="preserve"> process</w:t>
      </w:r>
      <w:r w:rsidR="00350185" w:rsidRPr="00367678">
        <w:t xml:space="preserve"> while operational </w:t>
      </w:r>
      <w:r w:rsidR="009872EE">
        <w:t xml:space="preserve">requests were made via </w:t>
      </w:r>
      <w:r>
        <w:t>annual</w:t>
      </w:r>
      <w:r w:rsidR="009872EE">
        <w:t xml:space="preserve"> budgeting </w:t>
      </w:r>
      <w:r w:rsidR="00223117">
        <w:t>process</w:t>
      </w:r>
      <w:r w:rsidR="009547D2">
        <w:t>es</w:t>
      </w:r>
      <w:r w:rsidR="00223117">
        <w:t xml:space="preserve"> </w:t>
      </w:r>
      <w:r w:rsidR="009872EE">
        <w:t>within individual departments</w:t>
      </w:r>
      <w:r w:rsidR="00957B33">
        <w:t xml:space="preserve"> and divisions.</w:t>
      </w:r>
      <w:r w:rsidR="00350185" w:rsidRPr="00367678">
        <w:t xml:space="preserve"> </w:t>
      </w:r>
    </w:p>
    <w:p w14:paraId="7BE1E5CA" w14:textId="6D240997" w:rsidR="00350185" w:rsidRPr="00367678" w:rsidRDefault="00350185" w:rsidP="00350185">
      <w:pPr>
        <w:pStyle w:val="BodyText"/>
      </w:pPr>
      <w:r w:rsidRPr="00367678">
        <w:t xml:space="preserve">To ensure </w:t>
      </w:r>
      <w:r w:rsidR="00957B33">
        <w:t>transparency in resource allocation</w:t>
      </w:r>
      <w:r w:rsidRPr="00367678">
        <w:t xml:space="preserve">, the results of the </w:t>
      </w:r>
      <w:proofErr w:type="spellStart"/>
      <w:proofErr w:type="gramStart"/>
      <w:r w:rsidR="00957B33">
        <w:t>aSAP</w:t>
      </w:r>
      <w:proofErr w:type="spellEnd"/>
      <w:proofErr w:type="gramEnd"/>
      <w:r w:rsidR="00957B33">
        <w:t xml:space="preserve"> </w:t>
      </w:r>
      <w:r w:rsidR="00F36BCE">
        <w:t>process,</w:t>
      </w:r>
      <w:r w:rsidR="00957B33">
        <w:t xml:space="preserve"> including review comments and recommendations, </w:t>
      </w:r>
      <w:r w:rsidRPr="00367678">
        <w:t xml:space="preserve">are posted on the SBPC </w:t>
      </w:r>
      <w:hyperlink r:id="rId10" w:history="1">
        <w:r w:rsidRPr="00974A94">
          <w:rPr>
            <w:rStyle w:val="Hyperlink"/>
            <w:rFonts w:cs="Times New Roman"/>
          </w:rPr>
          <w:t>website</w:t>
        </w:r>
      </w:hyperlink>
      <w:r w:rsidR="00477222">
        <w:t>.</w:t>
      </w:r>
      <w:r w:rsidRPr="00367678">
        <w:t xml:space="preserve"> </w:t>
      </w:r>
      <w:r w:rsidR="00477222">
        <w:t xml:space="preserve"> </w:t>
      </w:r>
      <w:r w:rsidR="00FF5064">
        <w:t xml:space="preserve">In some cases, </w:t>
      </w:r>
      <w:r w:rsidRPr="00367678">
        <w:t>requesters were contacted directly to explain the reasoning behind the final decision.</w:t>
      </w:r>
    </w:p>
    <w:p w14:paraId="2439741D" w14:textId="77777777" w:rsidR="00350185" w:rsidRPr="00367678" w:rsidRDefault="00350185" w:rsidP="00350185">
      <w:pPr>
        <w:pStyle w:val="Heading2"/>
      </w:pPr>
      <w:r w:rsidRPr="00367678">
        <w:t>Recommendation 2</w:t>
      </w:r>
    </w:p>
    <w:p w14:paraId="4B284E95" w14:textId="3FC1516A" w:rsidR="00350185" w:rsidRPr="00B00966" w:rsidRDefault="00350185" w:rsidP="00350185">
      <w:pPr>
        <w:pStyle w:val="BodyText"/>
        <w:rPr>
          <w:i/>
        </w:rPr>
      </w:pPr>
      <w:r w:rsidRPr="00B00966">
        <w:rPr>
          <w:i/>
        </w:rPr>
        <w:t xml:space="preserve">While SCC has developed new planning and assessment processes for academic programs and for non-academic programs and services, the Evaluation Committee could not find evidence that these have been fully implemented.  The Evaluation Committee recommends the college fully implement the assessment process by using student performance on key measures of learning to revise courses, programs, and the general education outcomes and non-academic programs and services.  These processes should be </w:t>
      </w:r>
      <w:r w:rsidRPr="00B00966">
        <w:rPr>
          <w:i/>
        </w:rPr>
        <w:lastRenderedPageBreak/>
        <w:t>integrated meaningfully into college’s decision making processes, including resource allocation. (Standard 4.A.2).</w:t>
      </w:r>
    </w:p>
    <w:p w14:paraId="645B7FFF" w14:textId="77777777" w:rsidR="00350185" w:rsidRPr="00367678" w:rsidRDefault="00350185" w:rsidP="00350185">
      <w:pPr>
        <w:pStyle w:val="Heading2"/>
      </w:pPr>
      <w:r w:rsidRPr="00367678">
        <w:t>Shoreline Response</w:t>
      </w:r>
    </w:p>
    <w:p w14:paraId="254A399F" w14:textId="77777777" w:rsidR="00350185" w:rsidRPr="00367678" w:rsidRDefault="00350185" w:rsidP="00350185">
      <w:pPr>
        <w:pStyle w:val="BodyText"/>
      </w:pPr>
      <w:r w:rsidRPr="00367678">
        <w:t xml:space="preserve">The MCE responds to this recommendation.  </w:t>
      </w:r>
    </w:p>
    <w:p w14:paraId="2B915664" w14:textId="77777777" w:rsidR="00350185" w:rsidRPr="00367678" w:rsidRDefault="00350185" w:rsidP="00350185">
      <w:pPr>
        <w:pStyle w:val="Heading2"/>
      </w:pPr>
      <w:r w:rsidRPr="00367678">
        <w:t>Recommendation 3</w:t>
      </w:r>
    </w:p>
    <w:p w14:paraId="01ABF4B4" w14:textId="77777777" w:rsidR="00350185" w:rsidRPr="00B00966" w:rsidRDefault="00350185" w:rsidP="00350185">
      <w:pPr>
        <w:pStyle w:val="BodyText"/>
        <w:rPr>
          <w:i/>
        </w:rPr>
      </w:pPr>
      <w:r w:rsidRPr="00B00966">
        <w:rPr>
          <w:i/>
        </w:rPr>
        <w:t>The Evaluation Committee determined that many operational policies have not been approved by the Board of Trustees; some have not been reviewed or revised since originally written; and most have not been reviewed or revised in the past decade. The evaluation committee recommends that policies and procedures be created or revised and, where appropriate, reviewed and approved by the Board of Trustees, to be in line with current practices and to correspond with the college’s core themes. (Standards 2.A.13</w:t>
      </w:r>
      <w:proofErr w:type="gramStart"/>
      <w:r w:rsidRPr="00B00966">
        <w:rPr>
          <w:i/>
        </w:rPr>
        <w:t>,2.A.15</w:t>
      </w:r>
      <w:proofErr w:type="gramEnd"/>
      <w:r w:rsidRPr="00B00966">
        <w:rPr>
          <w:i/>
        </w:rPr>
        <w:t>, 2.A.16, 2.A.17, 2.A.18, 2.D.3)</w:t>
      </w:r>
    </w:p>
    <w:p w14:paraId="3CD73D9C" w14:textId="77777777" w:rsidR="00350185" w:rsidRPr="00367678" w:rsidRDefault="00350185" w:rsidP="00350185">
      <w:pPr>
        <w:pStyle w:val="Heading2"/>
      </w:pPr>
      <w:r w:rsidRPr="00367678">
        <w:t>Shoreline Response</w:t>
      </w:r>
    </w:p>
    <w:p w14:paraId="71799E87" w14:textId="1500B550" w:rsidR="00DA7428" w:rsidRDefault="0031749D" w:rsidP="00350185">
      <w:pPr>
        <w:pStyle w:val="BodyText"/>
      </w:pPr>
      <w:r>
        <w:t>In</w:t>
      </w:r>
      <w:r w:rsidR="00350185" w:rsidRPr="00367678">
        <w:t xml:space="preserve"> 2014, </w:t>
      </w:r>
      <w:r w:rsidR="00FF5064">
        <w:t>Shoreline’s</w:t>
      </w:r>
      <w:r w:rsidR="00350185" w:rsidRPr="00367678">
        <w:t xml:space="preserve"> College Council convened a subcommitte</w:t>
      </w:r>
      <w:r w:rsidR="00F36BCE">
        <w:t>e to systematically review all c</w:t>
      </w:r>
      <w:r w:rsidR="00350185" w:rsidRPr="00367678">
        <w:t xml:space="preserve">ollege policies. </w:t>
      </w:r>
      <w:r w:rsidR="00DA7428">
        <w:t xml:space="preserve"> Each review begins with a systematic reading of a current Shoreline policy by the College Council and results in </w:t>
      </w:r>
      <w:r w:rsidR="00DA7428" w:rsidRPr="00367678">
        <w:t xml:space="preserve">a recommendation to either eliminate, amend, or retain </w:t>
      </w:r>
      <w:r w:rsidR="00B00966">
        <w:t>the</w:t>
      </w:r>
      <w:r w:rsidR="00DA7428" w:rsidRPr="00367678">
        <w:t xml:space="preserve"> policy.</w:t>
      </w:r>
      <w:r w:rsidR="00DA7428">
        <w:t xml:space="preserve">  </w:t>
      </w:r>
      <w:r w:rsidR="00DA7428" w:rsidRPr="00367678">
        <w:t>Those recommendations are next</w:t>
      </w:r>
      <w:r w:rsidR="009039D3">
        <w:t xml:space="preserve"> reviewed by the Executive Team, </w:t>
      </w:r>
      <w:r w:rsidR="00DA7428" w:rsidRPr="00367678">
        <w:t xml:space="preserve">moved forward for affirmation and approval by the College President, </w:t>
      </w:r>
      <w:proofErr w:type="gramStart"/>
      <w:r w:rsidR="00DA7428" w:rsidRPr="00367678">
        <w:t>then</w:t>
      </w:r>
      <w:proofErr w:type="gramEnd"/>
      <w:r w:rsidR="00DA7428" w:rsidRPr="00367678">
        <w:t xml:space="preserve"> presented to the Board of Trustees as a point of information.</w:t>
      </w:r>
      <w:r w:rsidR="00DA7428">
        <w:t xml:space="preserve">  </w:t>
      </w:r>
    </w:p>
    <w:p w14:paraId="005F3420" w14:textId="14DD02EA" w:rsidR="00350185" w:rsidRPr="00367678" w:rsidRDefault="00350185" w:rsidP="00350185">
      <w:pPr>
        <w:pStyle w:val="BodyText"/>
      </w:pPr>
      <w:r w:rsidRPr="00367678">
        <w:t>At the conclusion of</w:t>
      </w:r>
      <w:r w:rsidR="00FF5064">
        <w:t xml:space="preserve"> the 2014-15 academic year, </w:t>
      </w:r>
      <w:r w:rsidR="00DA7428">
        <w:t xml:space="preserve">the College has </w:t>
      </w:r>
      <w:r w:rsidR="00CD0545">
        <w:t>reviewed</w:t>
      </w:r>
      <w:r w:rsidR="00DA7428">
        <w:t xml:space="preserve"> </w:t>
      </w:r>
      <w:r w:rsidR="00F36BCE">
        <w:t>one of six chapters of the C</w:t>
      </w:r>
      <w:r w:rsidRPr="00367678">
        <w:t xml:space="preserve">ollege’s policy manual, covering 23 separate policies. </w:t>
      </w:r>
      <w:r w:rsidR="00DA7428">
        <w:t xml:space="preserve"> </w:t>
      </w:r>
      <w:r w:rsidRPr="00367678">
        <w:t xml:space="preserve">The policy review process will </w:t>
      </w:r>
      <w:r w:rsidR="00CD0545">
        <w:t>continue</w:t>
      </w:r>
      <w:r w:rsidRPr="00367678">
        <w:t xml:space="preserve"> on an ongoing basis, repeating </w:t>
      </w:r>
      <w:r w:rsidR="009547D2">
        <w:t>on a recurring schedule</w:t>
      </w:r>
      <w:r w:rsidR="00CD0545">
        <w:t xml:space="preserve"> </w:t>
      </w:r>
      <w:r w:rsidRPr="00367678">
        <w:t xml:space="preserve">after </w:t>
      </w:r>
      <w:r w:rsidR="00CD0545">
        <w:t>all policies have been reviewed</w:t>
      </w:r>
      <w:r w:rsidRPr="00367678">
        <w:t xml:space="preserve">. </w:t>
      </w:r>
      <w:r w:rsidR="00CD0545">
        <w:t xml:space="preserve"> </w:t>
      </w:r>
      <w:r w:rsidRPr="00367678">
        <w:t>New policies identified by the review process, in addition to those required by changes in law, will be timely developed and approved consistent with this process.</w:t>
      </w:r>
    </w:p>
    <w:p w14:paraId="5F5F6C8A" w14:textId="77777777" w:rsidR="00350185" w:rsidRPr="00367678" w:rsidRDefault="00350185" w:rsidP="00350185">
      <w:pPr>
        <w:pStyle w:val="Heading2"/>
      </w:pPr>
      <w:r w:rsidRPr="00367678">
        <w:t>Recommendation 4</w:t>
      </w:r>
    </w:p>
    <w:p w14:paraId="6AD3DDD2" w14:textId="77777777" w:rsidR="00350185" w:rsidRPr="00B00966" w:rsidRDefault="00350185" w:rsidP="00350185">
      <w:pPr>
        <w:pStyle w:val="BodyText"/>
        <w:rPr>
          <w:i/>
        </w:rPr>
      </w:pPr>
      <w:r w:rsidRPr="00B00966">
        <w:rPr>
          <w:i/>
        </w:rPr>
        <w:t>The Evaluation Committee recommends the Board of Trustees adequately consider in a timely, appropriate, and comprehensive manner the results from college audits including findings and management letter recommendations.  (Eligibility Requirement 19, Standard 2.F.7)</w:t>
      </w:r>
    </w:p>
    <w:p w14:paraId="5CF1BAE5" w14:textId="77777777" w:rsidR="00350185" w:rsidRPr="00367678" w:rsidRDefault="00350185" w:rsidP="00350185">
      <w:pPr>
        <w:pStyle w:val="Heading2"/>
      </w:pPr>
      <w:r w:rsidRPr="00367678">
        <w:t>Shoreline Response</w:t>
      </w:r>
    </w:p>
    <w:p w14:paraId="409BDBE7" w14:textId="02B5FD55" w:rsidR="00350185" w:rsidRPr="00367678" w:rsidRDefault="00F36BCE" w:rsidP="00350185">
      <w:pPr>
        <w:pStyle w:val="BodyText"/>
      </w:pPr>
      <w:r>
        <w:t>The C</w:t>
      </w:r>
      <w:r w:rsidR="00350185" w:rsidRPr="00367678">
        <w:t xml:space="preserve">ollege received this recommendation, revised from Recommendation 4 of its </w:t>
      </w:r>
      <w:proofErr w:type="gramStart"/>
      <w:r w:rsidR="00350185" w:rsidRPr="00367678">
        <w:t>Fall</w:t>
      </w:r>
      <w:proofErr w:type="gramEnd"/>
      <w:r w:rsidR="00350185" w:rsidRPr="00367678">
        <w:t xml:space="preserve"> 2012 Comprehensive Peer-Evaluation Report, in the letter reaffirming accreditation dated February 4, 2013. In that lette</w:t>
      </w:r>
      <w:r w:rsidR="00E96434">
        <w:t>r, the Commission directed the C</w:t>
      </w:r>
      <w:r w:rsidR="00350185" w:rsidRPr="00367678">
        <w:t>ollege to address the revised Recommendation 4 in an Ad Hoc Self-Evaluation Report wit</w:t>
      </w:r>
      <w:r w:rsidR="00E96434">
        <w:t xml:space="preserve">hout a visit in </w:t>
      </w:r>
      <w:proofErr w:type="gramStart"/>
      <w:r w:rsidR="00E96434">
        <w:t>Fall</w:t>
      </w:r>
      <w:proofErr w:type="gramEnd"/>
      <w:r w:rsidR="00E96434">
        <w:t xml:space="preserve"> 2013. The C</w:t>
      </w:r>
      <w:r w:rsidR="00350185" w:rsidRPr="00367678">
        <w:t>ollege submitted the Ad Hoc Self-Evaluation Report to the Commission on September 16, 2013, detailing its progress in addressing the recommendation. In January 201</w:t>
      </w:r>
      <w:r w:rsidR="00E96434">
        <w:t>4, the Commission accepted the C</w:t>
      </w:r>
      <w:r w:rsidR="00350185" w:rsidRPr="00367678">
        <w:t>ollege’s Ad Hoc Self-Evaluation Report and further requested that th</w:t>
      </w:r>
      <w:r w:rsidR="00E96434">
        <w:t>e C</w:t>
      </w:r>
      <w:r w:rsidR="00350185" w:rsidRPr="00367678">
        <w:t xml:space="preserve">ollege submit a Special Report updating the Commission on progress in responding to the recommendation. The College submitted its Special Report on April 25, 2014, and further described its progress in addressing the recommendation. The College underwent an external audit of its financial statements by the Washington State Auditor’s Office (SAO) beginning in October 2014. On December 1, 2014, the College’s </w:t>
      </w:r>
      <w:r w:rsidR="00E53C23" w:rsidRPr="00367678">
        <w:t xml:space="preserve">Board </w:t>
      </w:r>
      <w:r w:rsidR="00350185" w:rsidRPr="00367678">
        <w:t xml:space="preserve">of </w:t>
      </w:r>
      <w:r w:rsidR="00E53C23" w:rsidRPr="00367678">
        <w:t>T</w:t>
      </w:r>
      <w:r w:rsidR="00350185" w:rsidRPr="00367678">
        <w:t xml:space="preserve">rustees held a special meeting </w:t>
      </w:r>
      <w:r w:rsidR="00CD0545">
        <w:t>during</w:t>
      </w:r>
      <w:r w:rsidR="00350185" w:rsidRPr="00367678">
        <w:t xml:space="preserve"> </w:t>
      </w:r>
      <w:r w:rsidR="00350185" w:rsidRPr="00367678">
        <w:lastRenderedPageBreak/>
        <w:t>which it heard the results of the financial statement audit from SAO staff. There were no findings or management letter recommendations. The College remains in compliance with Eligibility Requirement 19 and Standard 2.F.7.</w:t>
      </w:r>
    </w:p>
    <w:p w14:paraId="34F54B1C" w14:textId="77777777" w:rsidR="00350185" w:rsidRPr="00367678" w:rsidRDefault="00350185" w:rsidP="00350185">
      <w:pPr>
        <w:pStyle w:val="Heading2"/>
      </w:pPr>
      <w:r w:rsidRPr="00367678">
        <w:t>Recommendation 5</w:t>
      </w:r>
    </w:p>
    <w:p w14:paraId="414F404C" w14:textId="2BA99B5D" w:rsidR="00350185" w:rsidRPr="00B00966" w:rsidRDefault="00350185" w:rsidP="00350185">
      <w:pPr>
        <w:pStyle w:val="BodyText"/>
        <w:rPr>
          <w:i/>
        </w:rPr>
      </w:pPr>
      <w:r w:rsidRPr="00B00966">
        <w:rPr>
          <w:i/>
        </w:rPr>
        <w:t>The Evaluation Committee found that severe budget cuts over the past seven years have resulted in cuts to student services staff, library and several student success strategies have been eliminated, reassigned or reduced significantly.  This appears to be in marked contrast to the expressed commitment to be a world-class leader in student success and community engagement. The Evaluation Committee recommends that the institution document how institutional activities support the college mission and core themes and, where appropriate, develop or restore needed services, such as academic advising. (2.B.1, 2.D.1, 2.D.3, 2.D.10)</w:t>
      </w:r>
    </w:p>
    <w:p w14:paraId="18627642" w14:textId="77777777" w:rsidR="00350185" w:rsidRPr="00367678" w:rsidRDefault="00350185" w:rsidP="00350185">
      <w:pPr>
        <w:pStyle w:val="Heading2"/>
      </w:pPr>
      <w:r w:rsidRPr="00367678">
        <w:t>Shoreline Response</w:t>
      </w:r>
    </w:p>
    <w:p w14:paraId="145F82DE" w14:textId="31E423C8" w:rsidR="00350185" w:rsidRPr="00367678" w:rsidRDefault="00350185" w:rsidP="00350185">
      <w:pPr>
        <w:pStyle w:val="BodyText"/>
      </w:pPr>
      <w:r w:rsidRPr="00367678">
        <w:t>Since the 2012 accreditation visit</w:t>
      </w:r>
      <w:r w:rsidR="004D3F57" w:rsidRPr="00367678">
        <w:t>,</w:t>
      </w:r>
      <w:r w:rsidRPr="00367678">
        <w:t xml:space="preserve"> Shoreline has made significant investments in student success strategies</w:t>
      </w:r>
      <w:r w:rsidR="00B00966">
        <w:t>,</w:t>
      </w:r>
      <w:r w:rsidRPr="00367678">
        <w:t xml:space="preserve"> reversing the downward trend </w:t>
      </w:r>
      <w:r w:rsidR="00B00966">
        <w:t xml:space="preserve">in student </w:t>
      </w:r>
      <w:r w:rsidR="00CD0545">
        <w:t>support services</w:t>
      </w:r>
      <w:r w:rsidR="00B00966">
        <w:t xml:space="preserve"> funding.  In </w:t>
      </w:r>
      <w:r w:rsidRPr="00367678">
        <w:t>the last three budget cycles</w:t>
      </w:r>
      <w:r w:rsidR="00B00966">
        <w:t>,</w:t>
      </w:r>
      <w:r w:rsidR="009547D2">
        <w:t xml:space="preserve"> over $1.7 million dollars has </w:t>
      </w:r>
      <w:r w:rsidRPr="00367678">
        <w:t>been allocated to these areas.  Full</w:t>
      </w:r>
      <w:r w:rsidR="004D3F57" w:rsidRPr="00367678">
        <w:t>-</w:t>
      </w:r>
      <w:r w:rsidR="00F03E39">
        <w:t>time faculty and staff (five a</w:t>
      </w:r>
      <w:r w:rsidRPr="00367678">
        <w:t xml:space="preserve">dvisors, two counselors, two success coaches, and two support staff) have been </w:t>
      </w:r>
      <w:r w:rsidR="00EB5A44">
        <w:t>hired</w:t>
      </w:r>
      <w:r w:rsidRPr="00367678">
        <w:t xml:space="preserve"> along with administrative hires and </w:t>
      </w:r>
      <w:r w:rsidR="004D3F57" w:rsidRPr="00367678">
        <w:t xml:space="preserve">title </w:t>
      </w:r>
      <w:r w:rsidR="00F03E39">
        <w:t>upgrades (A</w:t>
      </w:r>
      <w:r w:rsidRPr="00367678">
        <w:t>ssocia</w:t>
      </w:r>
      <w:r w:rsidR="00F03E39">
        <w:t>te D</w:t>
      </w:r>
      <w:r w:rsidR="00EB5A44">
        <w:t>ean of Transition</w:t>
      </w:r>
      <w:r w:rsidR="009547D2">
        <w:t>al</w:t>
      </w:r>
      <w:r w:rsidR="00EB5A44">
        <w:t xml:space="preserve"> Studies, Associate Dean of A</w:t>
      </w:r>
      <w:r w:rsidRPr="00367678">
        <w:t>dvising</w:t>
      </w:r>
      <w:r w:rsidR="00EB5A44">
        <w:t xml:space="preserve">, Associate Dean of </w:t>
      </w:r>
      <w:r w:rsidR="009547D2">
        <w:t xml:space="preserve">Engagement and </w:t>
      </w:r>
      <w:r w:rsidR="00EB5A44">
        <w:t>Counseling</w:t>
      </w:r>
      <w:r w:rsidR="009547D2">
        <w:t xml:space="preserve"> Services</w:t>
      </w:r>
      <w:r w:rsidRPr="00367678">
        <w:t xml:space="preserve">, </w:t>
      </w:r>
      <w:r w:rsidR="009547D2">
        <w:t xml:space="preserve">Associate Dean of Student Support </w:t>
      </w:r>
      <w:r w:rsidR="00B575BA">
        <w:t>Programs</w:t>
      </w:r>
      <w:r w:rsidR="009547D2">
        <w:t xml:space="preserve">, and </w:t>
      </w:r>
      <w:r w:rsidR="00EB5A44">
        <w:t>Director</w:t>
      </w:r>
      <w:r w:rsidR="00645F03">
        <w:t xml:space="preserve"> </w:t>
      </w:r>
      <w:r w:rsidR="008E4B7D">
        <w:t>of Library Services</w:t>
      </w:r>
      <w:r w:rsidRPr="00367678">
        <w:t xml:space="preserve">). </w:t>
      </w:r>
      <w:r w:rsidR="006C65D3">
        <w:t xml:space="preserve"> Shoreline</w:t>
      </w:r>
      <w:r w:rsidR="004D3F57" w:rsidRPr="00367678">
        <w:t xml:space="preserve"> </w:t>
      </w:r>
      <w:r w:rsidRPr="00367678">
        <w:t xml:space="preserve">has increased funding for tutoring and </w:t>
      </w:r>
      <w:r w:rsidR="006C65D3">
        <w:t>moved towards centralizing</w:t>
      </w:r>
      <w:r w:rsidRPr="00367678">
        <w:t xml:space="preserve"> those services.  </w:t>
      </w:r>
      <w:r w:rsidR="006C65D3">
        <w:t>We have</w:t>
      </w:r>
      <w:r w:rsidR="004D3F57" w:rsidRPr="00367678">
        <w:t xml:space="preserve"> </w:t>
      </w:r>
      <w:r w:rsidRPr="00367678">
        <w:t>reorganized the Financial Aid Department</w:t>
      </w:r>
      <w:r w:rsidR="009547D2">
        <w:t>,</w:t>
      </w:r>
      <w:r w:rsidRPr="00367678">
        <w:t xml:space="preserve"> resulting in </w:t>
      </w:r>
      <w:r w:rsidR="009547D2">
        <w:t>reduced</w:t>
      </w:r>
      <w:r w:rsidRPr="00367678">
        <w:t xml:space="preserve"> time between application and award.  </w:t>
      </w:r>
      <w:r w:rsidR="006C65D3">
        <w:t>The College has also</w:t>
      </w:r>
      <w:r w:rsidRPr="00367678">
        <w:t xml:space="preserve"> begun to engage in a significant </w:t>
      </w:r>
      <w:r w:rsidR="004D3F57" w:rsidRPr="00367678">
        <w:t xml:space="preserve">college-wide </w:t>
      </w:r>
      <w:r w:rsidRPr="00367678">
        <w:t>reform aimed at stu</w:t>
      </w:r>
      <w:r w:rsidR="006C65D3">
        <w:t>dent retention and completion.</w:t>
      </w:r>
    </w:p>
    <w:p w14:paraId="4F467361" w14:textId="1020A610" w:rsidR="00350185" w:rsidRPr="00367678" w:rsidRDefault="00350185" w:rsidP="00350185">
      <w:pPr>
        <w:pStyle w:val="BodyText"/>
      </w:pPr>
      <w:r w:rsidRPr="00367678">
        <w:t xml:space="preserve">In </w:t>
      </w:r>
      <w:proofErr w:type="gramStart"/>
      <w:r w:rsidR="004D3F57" w:rsidRPr="00367678">
        <w:t>W</w:t>
      </w:r>
      <w:r w:rsidR="00D32820">
        <w:t>inter</w:t>
      </w:r>
      <w:proofErr w:type="gramEnd"/>
      <w:r w:rsidR="00D32820">
        <w:t xml:space="preserve"> </w:t>
      </w:r>
      <w:r w:rsidRPr="00367678">
        <w:t>2015</w:t>
      </w:r>
      <w:r w:rsidR="004D3F57" w:rsidRPr="00367678">
        <w:t>,</w:t>
      </w:r>
      <w:r w:rsidRPr="00367678">
        <w:t xml:space="preserve"> </w:t>
      </w:r>
      <w:r w:rsidR="00E96434">
        <w:t>Shoreline</w:t>
      </w:r>
      <w:r w:rsidRPr="00367678">
        <w:t xml:space="preserve"> decided to centralize its three key tutoring services (the Math Learning Center, The Writing and Learning Studio, and the Tutoring Center) in the </w:t>
      </w:r>
      <w:r w:rsidR="004D3F57" w:rsidRPr="00367678">
        <w:t>L</w:t>
      </w:r>
      <w:r w:rsidRPr="00367678">
        <w:t xml:space="preserve">ibrary. The first phase of that move began in January 2015 and the second will be completed for the opening of Fall Quarter 2015.  </w:t>
      </w:r>
      <w:r w:rsidR="00111F17">
        <w:t>The intended outcome of this move will be to</w:t>
      </w:r>
      <w:r w:rsidRPr="00367678">
        <w:t xml:space="preserve"> </w:t>
      </w:r>
      <w:r w:rsidR="00111F17">
        <w:t>increase</w:t>
      </w:r>
      <w:r w:rsidRPr="00367678">
        <w:t xml:space="preserve"> access to these proven student success strategies.  Since moving the Tutoring Center to the </w:t>
      </w:r>
      <w:r w:rsidR="004D3F57" w:rsidRPr="00367678">
        <w:t>L</w:t>
      </w:r>
      <w:r w:rsidRPr="00367678">
        <w:t xml:space="preserve">ibrary, student use of tutoring services has increased by 39%. </w:t>
      </w:r>
      <w:r w:rsidR="00111F17">
        <w:t xml:space="preserve"> Another result of moving the MLC and TWLS is the creation of four new classrooms, with the outcome of increased access to high-demand classes during preferred times-of-day.</w:t>
      </w:r>
      <w:r w:rsidRPr="00367678">
        <w:t xml:space="preserve"> </w:t>
      </w:r>
      <w:r w:rsidR="00111F17">
        <w:t xml:space="preserve"> For 2015-2016, the moves have been confined to the </w:t>
      </w:r>
      <w:r w:rsidRPr="00367678">
        <w:t xml:space="preserve">main floor of the </w:t>
      </w:r>
      <w:r w:rsidR="00111F17">
        <w:t>library</w:t>
      </w:r>
      <w:r w:rsidRPr="00367678">
        <w:t xml:space="preserve">.  </w:t>
      </w:r>
      <w:r w:rsidR="00111F17">
        <w:t>Moving forward, we</w:t>
      </w:r>
      <w:r w:rsidRPr="00367678">
        <w:t xml:space="preserve"> will assess the use of all three floors of the library building and develop a more permanent location for these student support services along with a significant remodel of the building.  </w:t>
      </w:r>
    </w:p>
    <w:p w14:paraId="7BED4B30" w14:textId="1E7A511A" w:rsidR="006C65D3" w:rsidRPr="00367678" w:rsidRDefault="009547D2" w:rsidP="006C65D3">
      <w:pPr>
        <w:pStyle w:val="BodyText"/>
      </w:pPr>
      <w:r>
        <w:t>The Financial Aid d</w:t>
      </w:r>
      <w:r w:rsidR="006C65D3" w:rsidRPr="00367678">
        <w:t>epartment has undergone structural review and reform</w:t>
      </w:r>
      <w:r>
        <w:t>,</w:t>
      </w:r>
      <w:r w:rsidR="006C65D3" w:rsidRPr="00367678">
        <w:t xml:space="preserve"> resulting in staff </w:t>
      </w:r>
      <w:r w:rsidR="006C65D3">
        <w:t>changes</w:t>
      </w:r>
      <w:r w:rsidR="006C65D3" w:rsidRPr="00367678">
        <w:t xml:space="preserve">.  In addition, </w:t>
      </w:r>
      <w:r w:rsidR="000223DA">
        <w:t>these employees have been taken part in</w:t>
      </w:r>
      <w:r w:rsidR="006C65D3" w:rsidRPr="00367678">
        <w:t xml:space="preserve"> significant professional learning opportun</w:t>
      </w:r>
      <w:r>
        <w:t>ities (attendance at workshops and state</w:t>
      </w:r>
      <w:r w:rsidR="006C65D3" w:rsidRPr="00367678">
        <w:t xml:space="preserve"> and national c</w:t>
      </w:r>
      <w:r w:rsidR="006C65D3">
        <w:t>onferences)</w:t>
      </w:r>
      <w:r>
        <w:t>,</w:t>
      </w:r>
      <w:r w:rsidR="006C65D3">
        <w:t xml:space="preserve"> allowing “front-line</w:t>
      </w:r>
      <w:r w:rsidR="006C65D3" w:rsidRPr="00367678">
        <w:t>” staff to work more effectively and efficiently. As a result of these efforts,</w:t>
      </w:r>
      <w:r w:rsidR="006C65D3">
        <w:t xml:space="preserve"> the average time </w:t>
      </w:r>
      <w:r w:rsidR="000223DA">
        <w:t>of</w:t>
      </w:r>
      <w:r w:rsidR="006C65D3">
        <w:t xml:space="preserve"> file completion</w:t>
      </w:r>
      <w:r w:rsidR="006C65D3" w:rsidRPr="00367678">
        <w:t xml:space="preserve"> to award </w:t>
      </w:r>
      <w:r w:rsidR="006C65D3">
        <w:t>decreased</w:t>
      </w:r>
      <w:r w:rsidR="006C65D3" w:rsidRPr="00367678">
        <w:t xml:space="preserve"> from twenty-two weeks to ten</w:t>
      </w:r>
      <w:r w:rsidR="006C65D3">
        <w:t>,</w:t>
      </w:r>
      <w:r w:rsidR="006C65D3" w:rsidRPr="00367678">
        <w:t xml:space="preserve"> with plans to reduce award times even further</w:t>
      </w:r>
      <w:r w:rsidR="006C65D3">
        <w:t>.  The College is reviewing promising practices for streamlining fi</w:t>
      </w:r>
      <w:r w:rsidR="000223DA">
        <w:t xml:space="preserve">nancial aid </w:t>
      </w:r>
      <w:r w:rsidR="006C65D3">
        <w:t>based on a recent visit</w:t>
      </w:r>
      <w:r w:rsidR="006C65D3" w:rsidRPr="00367678">
        <w:t xml:space="preserve"> to Wake Tech</w:t>
      </w:r>
      <w:r>
        <w:t>nical</w:t>
      </w:r>
      <w:r w:rsidR="006C65D3" w:rsidRPr="00367678">
        <w:t xml:space="preserve"> Community College </w:t>
      </w:r>
      <w:r w:rsidR="006C65D3">
        <w:t>in North Carolina</w:t>
      </w:r>
      <w:r w:rsidR="006C65D3" w:rsidRPr="00367678">
        <w:t>.</w:t>
      </w:r>
    </w:p>
    <w:p w14:paraId="093B566C" w14:textId="4803933A" w:rsidR="00D556DB" w:rsidRDefault="00350185" w:rsidP="00350185">
      <w:pPr>
        <w:pStyle w:val="BodyText"/>
      </w:pPr>
      <w:r w:rsidRPr="00367678">
        <w:t>In fall of 2014</w:t>
      </w:r>
      <w:r w:rsidR="00E445F2">
        <w:t>,</w:t>
      </w:r>
      <w:r w:rsidRPr="00367678">
        <w:t xml:space="preserve"> Shoreline created the Student Success Coordinating Committee (SSCC) to </w:t>
      </w:r>
      <w:r w:rsidR="005D089C">
        <w:t xml:space="preserve">develop </w:t>
      </w:r>
      <w:r w:rsidRPr="00367678">
        <w:t>and coordinate</w:t>
      </w:r>
      <w:r w:rsidR="00E445F2">
        <w:t xml:space="preserve"> strategies to increase enrollment, course success, progress, </w:t>
      </w:r>
      <w:r w:rsidRPr="00367678">
        <w:t>retention</w:t>
      </w:r>
      <w:r w:rsidR="00367678" w:rsidRPr="00367678">
        <w:t>,</w:t>
      </w:r>
      <w:r w:rsidR="00E445F2">
        <w:t xml:space="preserve"> and completion</w:t>
      </w:r>
      <w:r w:rsidRPr="00367678">
        <w:t xml:space="preserve">.  </w:t>
      </w:r>
      <w:r w:rsidR="005D089C">
        <w:t xml:space="preserve">The committee was formed to support </w:t>
      </w:r>
      <w:r w:rsidRPr="00367678">
        <w:t>Shoreline</w:t>
      </w:r>
      <w:r w:rsidR="005D089C">
        <w:t>’s evolution from ongoing</w:t>
      </w:r>
      <w:r w:rsidRPr="00367678">
        <w:t xml:space="preserve"> </w:t>
      </w:r>
      <w:r w:rsidRPr="00367678">
        <w:rPr>
          <w:i/>
        </w:rPr>
        <w:t xml:space="preserve">ad hoc </w:t>
      </w:r>
      <w:r w:rsidRPr="000F4D2B">
        <w:t xml:space="preserve">initiatives for student success to a </w:t>
      </w:r>
      <w:r w:rsidR="005D089C">
        <w:t>disciplined</w:t>
      </w:r>
      <w:r w:rsidRPr="00367678">
        <w:t xml:space="preserve"> and sustained approach with clear metrics and goals.  Structured as a communication and coordinating body, this large and inclusive committee (31 members) is intended to </w:t>
      </w:r>
      <w:r w:rsidR="005D089C">
        <w:t>accomplish work</w:t>
      </w:r>
      <w:r w:rsidRPr="00367678">
        <w:t xml:space="preserve"> </w:t>
      </w:r>
      <w:r w:rsidR="000223DA">
        <w:t>via</w:t>
      </w:r>
      <w:r w:rsidR="005D089C">
        <w:t xml:space="preserve"> </w:t>
      </w:r>
      <w:r w:rsidR="000223DA">
        <w:t>small</w:t>
      </w:r>
      <w:r w:rsidR="005D089C">
        <w:t xml:space="preserve"> work groups that report back to the entire committee</w:t>
      </w:r>
      <w:r w:rsidR="00D556DB">
        <w:t xml:space="preserve"> at the SSCC’s monthly meetings</w:t>
      </w:r>
      <w:r w:rsidR="005D089C">
        <w:t>.  The SSCC</w:t>
      </w:r>
      <w:r w:rsidRPr="00367678">
        <w:t xml:space="preserve"> currently has five </w:t>
      </w:r>
      <w:r w:rsidR="00D556DB">
        <w:t>work groups addressing the following topics</w:t>
      </w:r>
      <w:r w:rsidRPr="00367678">
        <w:t xml:space="preserve">:  recruitment/enrollment, </w:t>
      </w:r>
      <w:r w:rsidR="00D556DB">
        <w:t xml:space="preserve">first-year </w:t>
      </w:r>
      <w:r w:rsidRPr="00367678">
        <w:t>college success course, o</w:t>
      </w:r>
      <w:r w:rsidR="000223DA">
        <w:t>rientation, advising, and a f</w:t>
      </w:r>
      <w:r w:rsidR="00D556DB">
        <w:t xml:space="preserve">irst-year cohort seminar.  The Director of Institutional Assessment and Data Management regularly reports to the committee either about the impact of </w:t>
      </w:r>
      <w:r w:rsidR="000223DA">
        <w:t xml:space="preserve">student success </w:t>
      </w:r>
      <w:r w:rsidR="00D556DB">
        <w:t>projects or about analyses indicating a potential barrier to student success.  The committee makes decisions about how to address these barriers either through an existing work group or through the development of a new work group.</w:t>
      </w:r>
    </w:p>
    <w:p w14:paraId="5823876A" w14:textId="3F943E99" w:rsidR="00350185" w:rsidRPr="00367678" w:rsidRDefault="00D556DB" w:rsidP="00350185">
      <w:pPr>
        <w:pStyle w:val="BodyText"/>
      </w:pPr>
      <w:r>
        <w:t xml:space="preserve">In </w:t>
      </w:r>
      <w:proofErr w:type="gramStart"/>
      <w:r>
        <w:t>Summer</w:t>
      </w:r>
      <w:proofErr w:type="gramEnd"/>
      <w:r>
        <w:t xml:space="preserve"> 2015</w:t>
      </w:r>
      <w:r w:rsidR="00E96434">
        <w:t xml:space="preserve">, Shoreline </w:t>
      </w:r>
      <w:r w:rsidR="00350185" w:rsidRPr="00367678">
        <w:t>sent a team of six faculty and seven administrators to the A</w:t>
      </w:r>
      <w:r w:rsidR="009547D2">
        <w:t>dvance</w:t>
      </w:r>
      <w:r w:rsidR="00350185" w:rsidRPr="00367678">
        <w:t>ment Via Individual Determination (AVID) Summer Institute 2015 to explore AVID for Higher Education (AHE) as a framework for approaching student success and retention</w:t>
      </w:r>
      <w:r w:rsidR="00367678" w:rsidRPr="00367678">
        <w:t xml:space="preserve"> in systemic way</w:t>
      </w:r>
      <w:r w:rsidR="00350185" w:rsidRPr="00367678">
        <w:t>.  It is noteworthy that three members of ET (P</w:t>
      </w:r>
      <w:r w:rsidR="000223DA">
        <w:t xml:space="preserve">resident, </w:t>
      </w:r>
      <w:r w:rsidR="0051553B" w:rsidRPr="00367678">
        <w:t>Vice President for Acade</w:t>
      </w:r>
      <w:r w:rsidR="000223DA">
        <w:t xml:space="preserve">mic and Student Affairs, </w:t>
      </w:r>
      <w:r w:rsidR="009547D2">
        <w:t xml:space="preserve">and </w:t>
      </w:r>
      <w:r w:rsidR="00350185" w:rsidRPr="00367678">
        <w:t>Executive Director, Busine</w:t>
      </w:r>
      <w:r w:rsidR="000223DA">
        <w:t xml:space="preserve">ss and Student Support Services), </w:t>
      </w:r>
      <w:r w:rsidR="00350185" w:rsidRPr="00367678">
        <w:t>thr</w:t>
      </w:r>
      <w:r w:rsidR="000223DA">
        <w:t>ee Deans, and one Associate Dean</w:t>
      </w:r>
      <w:r w:rsidR="00350185" w:rsidRPr="00367678">
        <w:t xml:space="preserve"> attended the institute demonstrating leadership commitment to exploring this option.  Faculty </w:t>
      </w:r>
      <w:r w:rsidR="000223DA">
        <w:t xml:space="preserve">who attended </w:t>
      </w:r>
      <w:r w:rsidR="00350185" w:rsidRPr="00367678">
        <w:t>came from Humanities, Math/Science, Social Sciences</w:t>
      </w:r>
      <w:r w:rsidR="0031749D">
        <w:t>,</w:t>
      </w:r>
      <w:r w:rsidR="00350185" w:rsidRPr="00367678">
        <w:t xml:space="preserve"> and Automotive</w:t>
      </w:r>
      <w:r w:rsidR="0031749D">
        <w:t>,</w:t>
      </w:r>
      <w:r w:rsidR="00350185" w:rsidRPr="00367678">
        <w:t xml:space="preserve"> including the chair of the Faculty Senate and President of the Shoreline Federation.  The team will review and present their findings to SSCC </w:t>
      </w:r>
      <w:r w:rsidR="000223DA">
        <w:t xml:space="preserve">in </w:t>
      </w:r>
      <w:proofErr w:type="gramStart"/>
      <w:r w:rsidR="000223DA">
        <w:t>F</w:t>
      </w:r>
      <w:r w:rsidR="00350185" w:rsidRPr="00367678">
        <w:t>all</w:t>
      </w:r>
      <w:proofErr w:type="gramEnd"/>
      <w:r w:rsidR="00350185" w:rsidRPr="00367678">
        <w:t xml:space="preserve"> 2015.  </w:t>
      </w:r>
    </w:p>
    <w:p w14:paraId="660ECF83" w14:textId="1A6160C0" w:rsidR="00350185" w:rsidRPr="00367678" w:rsidRDefault="001469AB" w:rsidP="00350185">
      <w:pPr>
        <w:pStyle w:val="BodyText"/>
      </w:pPr>
      <w:r>
        <w:t>The</w:t>
      </w:r>
      <w:r w:rsidR="00350185" w:rsidRPr="00367678">
        <w:t xml:space="preserve"> </w:t>
      </w:r>
      <w:proofErr w:type="gramStart"/>
      <w:r w:rsidR="00367678" w:rsidRPr="00367678">
        <w:t>Fall</w:t>
      </w:r>
      <w:proofErr w:type="gramEnd"/>
      <w:r>
        <w:t xml:space="preserve"> 2015</w:t>
      </w:r>
      <w:r w:rsidR="00367678" w:rsidRPr="00367678">
        <w:t xml:space="preserve"> Convocation and O</w:t>
      </w:r>
      <w:r w:rsidR="00350185" w:rsidRPr="00367678">
        <w:t xml:space="preserve">pening </w:t>
      </w:r>
      <w:r w:rsidR="00367678" w:rsidRPr="00367678">
        <w:t>W</w:t>
      </w:r>
      <w:r w:rsidR="00350185" w:rsidRPr="00367678">
        <w:t xml:space="preserve">eek </w:t>
      </w:r>
      <w:r w:rsidR="0051553B" w:rsidRPr="00367678">
        <w:t>focused</w:t>
      </w:r>
      <w:r w:rsidR="00350185" w:rsidRPr="00367678">
        <w:t xml:space="preserve"> on </w:t>
      </w:r>
      <w:r w:rsidR="0051553B" w:rsidRPr="00367678">
        <w:t>student engagement, beginning with an all-college Day of Learning.</w:t>
      </w:r>
      <w:r w:rsidR="00350185" w:rsidRPr="00367678">
        <w:t xml:space="preserve"> </w:t>
      </w:r>
      <w:r w:rsidR="0051553B" w:rsidRPr="00367678">
        <w:t>The day included</w:t>
      </w:r>
      <w:r w:rsidR="00350185" w:rsidRPr="00367678">
        <w:t xml:space="preserve"> sessions on our </w:t>
      </w:r>
      <w:r w:rsidR="000223DA">
        <w:t xml:space="preserve">five-year </w:t>
      </w:r>
      <w:r w:rsidR="00350185" w:rsidRPr="00367678">
        <w:t>strategic plan, the new advising plan, the new early warning plan, the results of several data scans, and a communication training intended to provide faculty and staff with the tools to engage students in meaningful dialog</w:t>
      </w:r>
      <w:r w:rsidR="00367678" w:rsidRPr="00367678">
        <w:t>ue</w:t>
      </w:r>
      <w:r w:rsidR="00350185" w:rsidRPr="00367678">
        <w:t xml:space="preserve">.  </w:t>
      </w:r>
      <w:r w:rsidR="0051553B" w:rsidRPr="00367678">
        <w:t>The Day of Learning was</w:t>
      </w:r>
      <w:r w:rsidR="00350185" w:rsidRPr="00367678">
        <w:t xml:space="preserve"> followed by </w:t>
      </w:r>
      <w:r>
        <w:t>several days</w:t>
      </w:r>
      <w:r w:rsidR="0051553B" w:rsidRPr="00367678">
        <w:t xml:space="preserve"> of concurrent sessions </w:t>
      </w:r>
      <w:r w:rsidR="00367678" w:rsidRPr="00367678">
        <w:t xml:space="preserve">focused on </w:t>
      </w:r>
      <w:r w:rsidR="0051553B" w:rsidRPr="00367678">
        <w:t>student learning outcomes</w:t>
      </w:r>
      <w:r w:rsidR="00350185" w:rsidRPr="00367678">
        <w:t xml:space="preserve"> assessment, enrollment and financial aid, changes in Canvas, Windows 10, the library search tool Primo, study abroad, understanding F1 visas, and accessibility issues for online classes.  </w:t>
      </w:r>
    </w:p>
    <w:p w14:paraId="613BC4E8" w14:textId="1BC2F2BE" w:rsidR="00350185" w:rsidRPr="00367678" w:rsidRDefault="00966222" w:rsidP="00350185">
      <w:pPr>
        <w:pStyle w:val="BodyText"/>
      </w:pPr>
      <w:r w:rsidRPr="00367678">
        <w:t xml:space="preserve">The </w:t>
      </w:r>
      <w:r w:rsidR="00367678" w:rsidRPr="00367678">
        <w:t>Executive Team, Administrative Team, and Board of Trustees</w:t>
      </w:r>
      <w:r w:rsidR="00350185" w:rsidRPr="00367678">
        <w:t xml:space="preserve"> </w:t>
      </w:r>
      <w:r w:rsidR="00367678" w:rsidRPr="00367678">
        <w:t>are</w:t>
      </w:r>
      <w:r w:rsidR="000F5AEE">
        <w:t xml:space="preserve"> </w:t>
      </w:r>
      <w:r w:rsidR="00350185" w:rsidRPr="00367678">
        <w:t xml:space="preserve">currently engaged in a collective reading of </w:t>
      </w:r>
      <w:r w:rsidR="00350185" w:rsidRPr="00367678">
        <w:rPr>
          <w:i/>
        </w:rPr>
        <w:t>Good to Great and the Social Sectors</w:t>
      </w:r>
      <w:r w:rsidR="00350185" w:rsidRPr="00367678">
        <w:t xml:space="preserve"> by Jim Collins with the goal of understanding how </w:t>
      </w:r>
      <w:r w:rsidR="00367678" w:rsidRPr="00367678">
        <w:t>a learning organization</w:t>
      </w:r>
      <w:r w:rsidR="00350185" w:rsidRPr="00367678">
        <w:t xml:space="preserve"> can become world class</w:t>
      </w:r>
      <w:r w:rsidR="00367678" w:rsidRPr="00367678">
        <w:t xml:space="preserve"> by </w:t>
      </w:r>
      <w:r w:rsidR="00FE0623">
        <w:t>adopting</w:t>
      </w:r>
      <w:r w:rsidR="00367678" w:rsidRPr="00367678">
        <w:t xml:space="preserve"> a disciplined</w:t>
      </w:r>
      <w:r w:rsidR="000F5AEE">
        <w:t xml:space="preserve"> </w:t>
      </w:r>
      <w:r w:rsidR="00367678" w:rsidRPr="00367678">
        <w:t>set of principles and practices</w:t>
      </w:r>
      <w:r w:rsidR="00350185" w:rsidRPr="00367678">
        <w:t xml:space="preserve">.  </w:t>
      </w:r>
    </w:p>
    <w:p w14:paraId="420DCE71" w14:textId="77777777" w:rsidR="00350185" w:rsidRPr="00367678" w:rsidRDefault="00350185" w:rsidP="00350185">
      <w:pPr>
        <w:pStyle w:val="Heading2"/>
      </w:pPr>
      <w:r w:rsidRPr="00367678">
        <w:t>Recommendation 6</w:t>
      </w:r>
    </w:p>
    <w:p w14:paraId="26B59095" w14:textId="77777777" w:rsidR="00350185" w:rsidRPr="00F74E42" w:rsidRDefault="00350185" w:rsidP="00350185">
      <w:pPr>
        <w:pStyle w:val="BodyText"/>
        <w:rPr>
          <w:i/>
        </w:rPr>
      </w:pPr>
      <w:r w:rsidRPr="00F74E42">
        <w:rPr>
          <w:i/>
        </w:rPr>
        <w:t>The Evaluation Committee recommends revision of indicators to ensure they are meaningful and are connected with aspirational thresholds. Institutional assessment via effective indicators can verify that objectives are met or not met, and such data can inform and improve upon institutional planning, initiatives, and operations that consistently occur in a framework that supports core themes. (Standards 3.A.1, 4.A.1)</w:t>
      </w:r>
    </w:p>
    <w:p w14:paraId="1E785B34" w14:textId="77777777" w:rsidR="00350185" w:rsidRPr="00367678" w:rsidRDefault="00350185" w:rsidP="00350185">
      <w:pPr>
        <w:pStyle w:val="BodyText"/>
        <w:rPr>
          <w:b/>
        </w:rPr>
      </w:pPr>
      <w:r w:rsidRPr="00367678">
        <w:rPr>
          <w:b/>
        </w:rPr>
        <w:t xml:space="preserve">Shoreline Response </w:t>
      </w:r>
    </w:p>
    <w:p w14:paraId="0CF2185F" w14:textId="0C04D127" w:rsidR="008F2B85" w:rsidRPr="00367678" w:rsidRDefault="00350185" w:rsidP="00350185">
      <w:pPr>
        <w:pStyle w:val="BodyText"/>
        <w:sectPr w:rsidR="008F2B85" w:rsidRPr="00367678" w:rsidSect="00350185">
          <w:type w:val="oddPage"/>
          <w:pgSz w:w="12240" w:h="15840"/>
          <w:pgMar w:top="1440" w:right="1440" w:bottom="1440" w:left="1440" w:header="720" w:footer="720" w:gutter="0"/>
          <w:cols w:space="720"/>
          <w:docGrid w:linePitch="360"/>
        </w:sectPr>
      </w:pPr>
      <w:r w:rsidRPr="00367678">
        <w:t xml:space="preserve">Shoreline has continually subjected our Core Themes, Core Theme Objectives and Core Theme Indicators to an iterative process (design, deploy, review, reflect, redesign). In preparing for its </w:t>
      </w:r>
      <w:proofErr w:type="gramStart"/>
      <w:r w:rsidRPr="00367678">
        <w:t>Fall</w:t>
      </w:r>
      <w:proofErr w:type="gramEnd"/>
      <w:r w:rsidRPr="00367678">
        <w:t xml:space="preserve"> 2013 Year One Self-Evalu</w:t>
      </w:r>
      <w:r w:rsidR="006F10E1">
        <w:t>ation</w:t>
      </w:r>
      <w:r w:rsidR="0031749D">
        <w:t>,</w:t>
      </w:r>
      <w:r w:rsidR="006F10E1">
        <w:t xml:space="preserve"> the number of Core Theme I</w:t>
      </w:r>
      <w:r w:rsidRPr="00367678">
        <w:t xml:space="preserve">ndicators was reduced </w:t>
      </w:r>
      <w:r w:rsidR="0031749D">
        <w:t xml:space="preserve">from </w:t>
      </w:r>
      <w:r w:rsidRPr="00367678">
        <w:t>56 to 37 and all 52 sub indica</w:t>
      </w:r>
      <w:r w:rsidR="00782E0D">
        <w:t xml:space="preserve">tors were eliminated.  Recently, </w:t>
      </w:r>
      <w:r w:rsidRPr="00367678">
        <w:t>some of the new indic</w:t>
      </w:r>
      <w:r w:rsidR="00782E0D">
        <w:t>ators w</w:t>
      </w:r>
      <w:r w:rsidRPr="00367678">
        <w:t xml:space="preserve">ere modified to reflect data availability.  We expect to see further changes as we strive to </w:t>
      </w:r>
      <w:r w:rsidR="0031749D">
        <w:t>establish</w:t>
      </w:r>
      <w:r w:rsidRPr="00367678">
        <w:t xml:space="preserve"> meaningful and aspirationa</w:t>
      </w:r>
      <w:r w:rsidR="00782E0D">
        <w:t>l metrics.  We are also asking</w:t>
      </w:r>
      <w:r w:rsidRPr="00367678">
        <w:t xml:space="preserve"> more fundamental questio</w:t>
      </w:r>
      <w:r w:rsidR="000223DA">
        <w:t xml:space="preserve">ns regarding our Core Themes; </w:t>
      </w:r>
      <w:r w:rsidR="00782E0D">
        <w:t>for example, the Executive Team recently reflected and discussed the following question:  “A</w:t>
      </w:r>
      <w:r w:rsidRPr="00367678">
        <w:t xml:space="preserve">re the current Core Themes tied to mission fulfillment or are they values?”  Once the </w:t>
      </w:r>
      <w:r w:rsidR="0031749D">
        <w:t>five-year strategic plan</w:t>
      </w:r>
      <w:r w:rsidRPr="00367678">
        <w:t xml:space="preserve"> is complete</w:t>
      </w:r>
      <w:r w:rsidR="00367678" w:rsidRPr="00367678">
        <w:t>,</w:t>
      </w:r>
      <w:r w:rsidRPr="00367678">
        <w:t xml:space="preserve"> we expect to launch a more</w:t>
      </w:r>
      <w:r w:rsidR="00C76D40">
        <w:t xml:space="preserve"> inclusive discussion aimed at mission, v</w:t>
      </w:r>
      <w:r w:rsidRPr="00367678">
        <w:t xml:space="preserve">ision, Core Themes, </w:t>
      </w:r>
      <w:r w:rsidR="00367678" w:rsidRPr="00367678">
        <w:t>and</w:t>
      </w:r>
      <w:r w:rsidR="00367678">
        <w:t xml:space="preserve"> </w:t>
      </w:r>
      <w:r w:rsidRPr="00367678">
        <w:t>Core Theme Indicators.</w:t>
      </w:r>
    </w:p>
    <w:p w14:paraId="462E8153" w14:textId="77777777" w:rsidR="008F2B85" w:rsidRPr="00367678" w:rsidRDefault="008F2B85" w:rsidP="008F2B85">
      <w:pPr>
        <w:pStyle w:val="Heading1"/>
      </w:pPr>
      <w:r w:rsidRPr="00367678">
        <w:t>Appendix B:  Draft Strategic Planning Goals</w:t>
      </w:r>
    </w:p>
    <w:p w14:paraId="4E9509FA" w14:textId="77777777" w:rsidR="008F2B85" w:rsidRPr="00782E0D" w:rsidRDefault="008F2B85" w:rsidP="008F2B85">
      <w:pPr>
        <w:rPr>
          <w:b/>
          <w:bCs/>
          <w:sz w:val="24"/>
          <w:szCs w:val="24"/>
        </w:rPr>
      </w:pPr>
    </w:p>
    <w:p w14:paraId="65CE07E0" w14:textId="2BD93862" w:rsidR="008F2B85" w:rsidRPr="005B4A9D" w:rsidRDefault="008F2B85" w:rsidP="005B4A9D">
      <w:pPr>
        <w:rPr>
          <w:b/>
          <w:sz w:val="24"/>
          <w:szCs w:val="24"/>
        </w:rPr>
      </w:pPr>
      <w:r w:rsidRPr="00782E0D">
        <w:rPr>
          <w:b/>
          <w:sz w:val="24"/>
          <w:szCs w:val="24"/>
        </w:rPr>
        <w:t>As we implement our plan, we will integrate the principles of the Triple Bottom Line, to ensure that all decisions incorporate social equity, economic viability</w:t>
      </w:r>
      <w:r w:rsidR="00841253">
        <w:rPr>
          <w:b/>
          <w:sz w:val="24"/>
          <w:szCs w:val="24"/>
        </w:rPr>
        <w:t>,</w:t>
      </w:r>
      <w:r w:rsidRPr="00782E0D">
        <w:rPr>
          <w:b/>
          <w:sz w:val="24"/>
          <w:szCs w:val="24"/>
        </w:rPr>
        <w:t xml:space="preserve"> and ecological integrity. </w:t>
      </w:r>
    </w:p>
    <w:p w14:paraId="2C110919" w14:textId="77777777" w:rsidR="008F2B85" w:rsidRPr="00782E0D" w:rsidRDefault="008F2B85" w:rsidP="008F2B85">
      <w:pPr>
        <w:ind w:left="360" w:hanging="360"/>
        <w:rPr>
          <w:b/>
          <w:bCs/>
          <w:sz w:val="24"/>
          <w:szCs w:val="24"/>
        </w:rPr>
      </w:pPr>
      <w:r w:rsidRPr="00782E0D">
        <w:rPr>
          <w:b/>
          <w:bCs/>
          <w:sz w:val="24"/>
          <w:szCs w:val="24"/>
        </w:rPr>
        <w:t>1)</w:t>
      </w:r>
      <w:r w:rsidRPr="00782E0D">
        <w:rPr>
          <w:b/>
          <w:bCs/>
          <w:sz w:val="24"/>
          <w:szCs w:val="24"/>
        </w:rPr>
        <w:tab/>
        <w:t>All aspects of our students’ learning environment will support their success.</w:t>
      </w:r>
    </w:p>
    <w:p w14:paraId="4845B581" w14:textId="77777777" w:rsidR="008F2B85" w:rsidRPr="00782E0D" w:rsidRDefault="008F2B85" w:rsidP="008F2B85">
      <w:pPr>
        <w:ind w:left="360" w:hanging="360"/>
        <w:rPr>
          <w:bCs/>
          <w:sz w:val="24"/>
          <w:szCs w:val="24"/>
        </w:rPr>
      </w:pPr>
      <w:r w:rsidRPr="00782E0D">
        <w:rPr>
          <w:bCs/>
          <w:sz w:val="24"/>
          <w:szCs w:val="24"/>
        </w:rPr>
        <w:t>Objectives:</w:t>
      </w:r>
    </w:p>
    <w:p w14:paraId="3550F5C6" w14:textId="77777777" w:rsidR="008F2B85" w:rsidRPr="00782E0D" w:rsidRDefault="008F2B85" w:rsidP="008F2B85">
      <w:pPr>
        <w:pStyle w:val="ListParagraph"/>
        <w:numPr>
          <w:ilvl w:val="0"/>
          <w:numId w:val="25"/>
        </w:numPr>
        <w:spacing w:after="0" w:line="240" w:lineRule="auto"/>
        <w:contextualSpacing w:val="0"/>
        <w:rPr>
          <w:bCs/>
          <w:sz w:val="24"/>
          <w:szCs w:val="24"/>
        </w:rPr>
      </w:pPr>
      <w:r w:rsidRPr="00782E0D">
        <w:rPr>
          <w:bCs/>
          <w:sz w:val="24"/>
          <w:szCs w:val="24"/>
        </w:rPr>
        <w:t>Improve physical spaces and technology to be more conducive to student learning.</w:t>
      </w:r>
    </w:p>
    <w:p w14:paraId="7DF17395" w14:textId="77777777" w:rsidR="008F2B85" w:rsidRPr="00782E0D" w:rsidRDefault="008F2B85" w:rsidP="008F2B85">
      <w:pPr>
        <w:pStyle w:val="ListParagraph"/>
        <w:numPr>
          <w:ilvl w:val="0"/>
          <w:numId w:val="25"/>
        </w:numPr>
        <w:spacing w:after="0" w:line="240" w:lineRule="auto"/>
        <w:contextualSpacing w:val="0"/>
        <w:rPr>
          <w:bCs/>
          <w:sz w:val="24"/>
          <w:szCs w:val="24"/>
        </w:rPr>
      </w:pPr>
      <w:r w:rsidRPr="00782E0D">
        <w:rPr>
          <w:bCs/>
          <w:sz w:val="24"/>
          <w:szCs w:val="24"/>
        </w:rPr>
        <w:t>Engage in Strategic Enrollment Management, encompassing the entire student experience, from the moment students aspire to attend to the moment they attain their educational goals.</w:t>
      </w:r>
    </w:p>
    <w:p w14:paraId="32EC2659" w14:textId="77777777" w:rsidR="008F2B85" w:rsidRPr="00782E0D" w:rsidRDefault="008F2B85" w:rsidP="008F2B85">
      <w:pPr>
        <w:rPr>
          <w:bCs/>
          <w:sz w:val="24"/>
          <w:szCs w:val="24"/>
        </w:rPr>
      </w:pPr>
    </w:p>
    <w:p w14:paraId="2887EAB1" w14:textId="77777777" w:rsidR="008F2B85" w:rsidRPr="00782E0D" w:rsidRDefault="008F2B85" w:rsidP="008F2B85">
      <w:pPr>
        <w:ind w:left="360" w:hanging="360"/>
        <w:rPr>
          <w:b/>
          <w:bCs/>
          <w:sz w:val="24"/>
          <w:szCs w:val="24"/>
        </w:rPr>
      </w:pPr>
      <w:r w:rsidRPr="00782E0D">
        <w:rPr>
          <w:b/>
          <w:bCs/>
          <w:sz w:val="24"/>
          <w:szCs w:val="24"/>
        </w:rPr>
        <w:t>2)</w:t>
      </w:r>
      <w:r w:rsidRPr="00782E0D">
        <w:rPr>
          <w:b/>
          <w:bCs/>
          <w:sz w:val="24"/>
          <w:szCs w:val="24"/>
        </w:rPr>
        <w:tab/>
        <w:t>All of our programs and services will engage in continuous improvement processes to ensure they support students’ success.</w:t>
      </w:r>
    </w:p>
    <w:p w14:paraId="0E920DDA" w14:textId="77777777" w:rsidR="008F2B85" w:rsidRPr="00782E0D" w:rsidRDefault="008F2B85" w:rsidP="008F2B85">
      <w:pPr>
        <w:ind w:left="360" w:hanging="360"/>
        <w:rPr>
          <w:bCs/>
          <w:sz w:val="24"/>
          <w:szCs w:val="24"/>
        </w:rPr>
      </w:pPr>
      <w:r w:rsidRPr="00782E0D">
        <w:rPr>
          <w:bCs/>
          <w:sz w:val="24"/>
          <w:szCs w:val="24"/>
        </w:rPr>
        <w:t>Objectives:</w:t>
      </w:r>
    </w:p>
    <w:p w14:paraId="142A1DBF" w14:textId="77777777" w:rsidR="008F2B85" w:rsidRPr="00782E0D" w:rsidRDefault="008F2B85" w:rsidP="008F2B85">
      <w:pPr>
        <w:pStyle w:val="ListParagraph"/>
        <w:numPr>
          <w:ilvl w:val="0"/>
          <w:numId w:val="26"/>
        </w:numPr>
        <w:spacing w:after="0" w:line="240" w:lineRule="auto"/>
        <w:contextualSpacing w:val="0"/>
        <w:rPr>
          <w:bCs/>
          <w:sz w:val="24"/>
          <w:szCs w:val="24"/>
        </w:rPr>
      </w:pPr>
      <w:r w:rsidRPr="00782E0D">
        <w:rPr>
          <w:bCs/>
          <w:sz w:val="24"/>
          <w:szCs w:val="24"/>
        </w:rPr>
        <w:t>Develop a robust mechanism for ongoing student learning outcomes assessment at the course, program, and institutional level.</w:t>
      </w:r>
    </w:p>
    <w:p w14:paraId="2EC3D42F" w14:textId="77777777" w:rsidR="008F2B85" w:rsidRPr="00782E0D" w:rsidRDefault="008F2B85" w:rsidP="008F2B85">
      <w:pPr>
        <w:pStyle w:val="ListParagraph"/>
        <w:numPr>
          <w:ilvl w:val="0"/>
          <w:numId w:val="26"/>
        </w:numPr>
        <w:spacing w:after="0" w:line="240" w:lineRule="auto"/>
        <w:contextualSpacing w:val="0"/>
        <w:rPr>
          <w:bCs/>
          <w:sz w:val="24"/>
          <w:szCs w:val="24"/>
        </w:rPr>
      </w:pPr>
      <w:r w:rsidRPr="00782E0D">
        <w:rPr>
          <w:bCs/>
          <w:sz w:val="24"/>
          <w:szCs w:val="24"/>
        </w:rPr>
        <w:t>Engage in an ongoing, data-informed cycle of academic program review that allows for agile changes in program offerings, creativity and an entrepreneurial mindset.</w:t>
      </w:r>
    </w:p>
    <w:p w14:paraId="29AFDC37" w14:textId="77777777" w:rsidR="008F2B85" w:rsidRPr="00782E0D" w:rsidRDefault="008F2B85" w:rsidP="008F2B85">
      <w:pPr>
        <w:pStyle w:val="ListParagraph"/>
        <w:numPr>
          <w:ilvl w:val="0"/>
          <w:numId w:val="26"/>
        </w:numPr>
        <w:spacing w:after="0" w:line="240" w:lineRule="auto"/>
        <w:contextualSpacing w:val="0"/>
        <w:rPr>
          <w:bCs/>
          <w:sz w:val="24"/>
          <w:szCs w:val="24"/>
        </w:rPr>
      </w:pPr>
      <w:r w:rsidRPr="00782E0D">
        <w:rPr>
          <w:bCs/>
          <w:sz w:val="24"/>
          <w:szCs w:val="24"/>
        </w:rPr>
        <w:t>Invest in professional learning for faculty and staff to support continuous improvement.</w:t>
      </w:r>
    </w:p>
    <w:p w14:paraId="5A9FF099" w14:textId="77777777" w:rsidR="008F2B85" w:rsidRPr="00782E0D" w:rsidRDefault="008F2B85" w:rsidP="008F2B85">
      <w:pPr>
        <w:rPr>
          <w:bCs/>
          <w:sz w:val="24"/>
          <w:szCs w:val="24"/>
        </w:rPr>
      </w:pPr>
    </w:p>
    <w:p w14:paraId="44DE1222" w14:textId="77777777" w:rsidR="008F2B85" w:rsidRPr="00782E0D" w:rsidRDefault="008F2B85" w:rsidP="008F2B85">
      <w:pPr>
        <w:rPr>
          <w:bCs/>
          <w:sz w:val="24"/>
          <w:szCs w:val="24"/>
        </w:rPr>
      </w:pPr>
      <w:r w:rsidRPr="00782E0D">
        <w:rPr>
          <w:b/>
          <w:bCs/>
          <w:sz w:val="24"/>
          <w:szCs w:val="24"/>
        </w:rPr>
        <w:t>3)  We will thrive as a college community and become a vital partner to all the constituencies we serve.</w:t>
      </w:r>
    </w:p>
    <w:p w14:paraId="0E6792C3" w14:textId="77777777" w:rsidR="008F2B85" w:rsidRPr="00782E0D" w:rsidRDefault="008F2B85" w:rsidP="008F2B85">
      <w:pPr>
        <w:ind w:left="360" w:hanging="360"/>
        <w:rPr>
          <w:bCs/>
          <w:sz w:val="24"/>
          <w:szCs w:val="24"/>
        </w:rPr>
      </w:pPr>
      <w:r w:rsidRPr="00782E0D">
        <w:rPr>
          <w:bCs/>
          <w:sz w:val="24"/>
          <w:szCs w:val="24"/>
        </w:rPr>
        <w:t>Objectives:</w:t>
      </w:r>
    </w:p>
    <w:p w14:paraId="3675EC0D" w14:textId="77777777" w:rsidR="008F2B85" w:rsidRPr="00782E0D" w:rsidRDefault="008F2B85" w:rsidP="008F2B85">
      <w:pPr>
        <w:pStyle w:val="NoSpacing"/>
        <w:numPr>
          <w:ilvl w:val="0"/>
          <w:numId w:val="27"/>
        </w:numPr>
        <w:rPr>
          <w:sz w:val="24"/>
          <w:szCs w:val="24"/>
        </w:rPr>
      </w:pPr>
      <w:r w:rsidRPr="00782E0D">
        <w:rPr>
          <w:sz w:val="24"/>
          <w:szCs w:val="24"/>
        </w:rPr>
        <w:t>Develop and support innovative programs to engage the constituencies we serve.</w:t>
      </w:r>
    </w:p>
    <w:p w14:paraId="64ED84D0" w14:textId="77777777" w:rsidR="008F2B85" w:rsidRPr="00782E0D" w:rsidRDefault="008F2B85" w:rsidP="008F2B85">
      <w:pPr>
        <w:pStyle w:val="NoSpacing"/>
        <w:numPr>
          <w:ilvl w:val="0"/>
          <w:numId w:val="27"/>
        </w:numPr>
        <w:rPr>
          <w:sz w:val="24"/>
          <w:szCs w:val="24"/>
        </w:rPr>
      </w:pPr>
      <w:r w:rsidRPr="00782E0D">
        <w:rPr>
          <w:sz w:val="24"/>
          <w:szCs w:val="24"/>
        </w:rPr>
        <w:t>Strengthen the Shoreline Community College identity and brand to both its internal and external constituencies.</w:t>
      </w:r>
    </w:p>
    <w:p w14:paraId="070D1474" w14:textId="77777777" w:rsidR="008F2B85" w:rsidRPr="00782E0D" w:rsidRDefault="008F2B85" w:rsidP="008F2B85">
      <w:pPr>
        <w:pStyle w:val="NoSpacing"/>
        <w:numPr>
          <w:ilvl w:val="0"/>
          <w:numId w:val="27"/>
        </w:numPr>
        <w:rPr>
          <w:sz w:val="24"/>
          <w:szCs w:val="24"/>
        </w:rPr>
      </w:pPr>
      <w:r w:rsidRPr="00782E0D">
        <w:rPr>
          <w:sz w:val="24"/>
          <w:szCs w:val="24"/>
        </w:rPr>
        <w:t>Develop, implement, and review an annual internal and external communications &amp; marketing plan.</w:t>
      </w:r>
    </w:p>
    <w:p w14:paraId="1BD66768" w14:textId="77777777" w:rsidR="008F2B85" w:rsidRPr="00782E0D" w:rsidRDefault="008F2B85" w:rsidP="008F2B85">
      <w:pPr>
        <w:pStyle w:val="NoSpacing"/>
        <w:numPr>
          <w:ilvl w:val="0"/>
          <w:numId w:val="27"/>
        </w:numPr>
        <w:rPr>
          <w:sz w:val="24"/>
          <w:szCs w:val="24"/>
        </w:rPr>
      </w:pPr>
      <w:r w:rsidRPr="00782E0D">
        <w:rPr>
          <w:sz w:val="24"/>
          <w:szCs w:val="24"/>
        </w:rPr>
        <w:t>Increase enrollment to ensure responsive program offerings and financial stability.</w:t>
      </w:r>
    </w:p>
    <w:p w14:paraId="0B49BC47" w14:textId="77777777" w:rsidR="008F2B85" w:rsidRPr="00782E0D" w:rsidRDefault="008F2B85" w:rsidP="008F2B85">
      <w:pPr>
        <w:pStyle w:val="NoSpacing"/>
        <w:numPr>
          <w:ilvl w:val="0"/>
          <w:numId w:val="27"/>
        </w:numPr>
        <w:rPr>
          <w:sz w:val="24"/>
          <w:szCs w:val="24"/>
        </w:rPr>
      </w:pPr>
      <w:r w:rsidRPr="00782E0D">
        <w:rPr>
          <w:sz w:val="24"/>
          <w:szCs w:val="24"/>
        </w:rPr>
        <w:t>Engender community involvement and philanthropic support.</w:t>
      </w:r>
    </w:p>
    <w:p w14:paraId="26C8ABD0" w14:textId="77777777" w:rsidR="008F2B85" w:rsidRPr="00782E0D" w:rsidRDefault="008F2B85" w:rsidP="008F2B85">
      <w:pPr>
        <w:rPr>
          <w:bCs/>
          <w:sz w:val="24"/>
          <w:szCs w:val="24"/>
        </w:rPr>
      </w:pPr>
    </w:p>
    <w:p w14:paraId="7B7410FE" w14:textId="77777777" w:rsidR="008F2B85" w:rsidRPr="00782E0D" w:rsidRDefault="008F2B85" w:rsidP="008F2B85">
      <w:pPr>
        <w:ind w:left="360" w:hanging="360"/>
        <w:rPr>
          <w:b/>
          <w:sz w:val="24"/>
          <w:szCs w:val="24"/>
        </w:rPr>
      </w:pPr>
      <w:r w:rsidRPr="00367678">
        <w:rPr>
          <w:b/>
        </w:rPr>
        <w:t>4)</w:t>
      </w:r>
      <w:r w:rsidRPr="00367678">
        <w:rPr>
          <w:b/>
        </w:rPr>
        <w:tab/>
      </w:r>
      <w:r w:rsidRPr="00782E0D">
        <w:rPr>
          <w:b/>
          <w:sz w:val="24"/>
          <w:szCs w:val="24"/>
        </w:rPr>
        <w:t>We will engage in ongoing conversation and discovery about our shared purpose and differences, which will inform our practices and decisions.</w:t>
      </w:r>
    </w:p>
    <w:p w14:paraId="1D810B24" w14:textId="77777777" w:rsidR="008F2B85" w:rsidRPr="00782E0D" w:rsidRDefault="008F2B85" w:rsidP="008F2B85">
      <w:pPr>
        <w:rPr>
          <w:sz w:val="24"/>
          <w:szCs w:val="24"/>
        </w:rPr>
      </w:pPr>
      <w:r w:rsidRPr="00782E0D">
        <w:rPr>
          <w:sz w:val="24"/>
          <w:szCs w:val="24"/>
        </w:rPr>
        <w:t>Objectives:</w:t>
      </w:r>
    </w:p>
    <w:p w14:paraId="7A9524F6" w14:textId="7185A920" w:rsidR="008F2B85" w:rsidRPr="00782E0D" w:rsidRDefault="008F2B85" w:rsidP="008F2B85">
      <w:pPr>
        <w:pStyle w:val="ListParagraph"/>
        <w:numPr>
          <w:ilvl w:val="0"/>
          <w:numId w:val="28"/>
        </w:numPr>
        <w:spacing w:after="0" w:line="240" w:lineRule="auto"/>
        <w:contextualSpacing w:val="0"/>
        <w:rPr>
          <w:sz w:val="24"/>
          <w:szCs w:val="24"/>
        </w:rPr>
      </w:pPr>
      <w:r w:rsidRPr="00782E0D">
        <w:rPr>
          <w:sz w:val="24"/>
          <w:szCs w:val="24"/>
        </w:rPr>
        <w:t xml:space="preserve">Engage in ongoing </w:t>
      </w:r>
      <w:r w:rsidR="000F4D2B">
        <w:rPr>
          <w:sz w:val="24"/>
          <w:szCs w:val="24"/>
        </w:rPr>
        <w:t>learning</w:t>
      </w:r>
      <w:r w:rsidR="000F4D2B" w:rsidRPr="00782E0D">
        <w:rPr>
          <w:sz w:val="24"/>
          <w:szCs w:val="24"/>
        </w:rPr>
        <w:t xml:space="preserve"> </w:t>
      </w:r>
      <w:r w:rsidRPr="00782E0D">
        <w:rPr>
          <w:sz w:val="24"/>
          <w:szCs w:val="24"/>
        </w:rPr>
        <w:t>so that all members of the college community support open, safe communication that is sustained through turnover of students, staff, and faculty.</w:t>
      </w:r>
    </w:p>
    <w:p w14:paraId="46B7FD1C" w14:textId="2FB63014" w:rsidR="008F2B85" w:rsidRPr="00782E0D" w:rsidRDefault="008F2B85" w:rsidP="008F2B85">
      <w:pPr>
        <w:pStyle w:val="ListParagraph"/>
        <w:numPr>
          <w:ilvl w:val="0"/>
          <w:numId w:val="28"/>
        </w:numPr>
        <w:spacing w:after="0" w:line="240" w:lineRule="auto"/>
        <w:contextualSpacing w:val="0"/>
        <w:rPr>
          <w:sz w:val="24"/>
          <w:szCs w:val="24"/>
        </w:rPr>
      </w:pPr>
      <w:r w:rsidRPr="00782E0D">
        <w:rPr>
          <w:sz w:val="24"/>
          <w:szCs w:val="24"/>
        </w:rPr>
        <w:t xml:space="preserve">Create a methodology to periodically evaluate the impact of this </w:t>
      </w:r>
      <w:r w:rsidR="000F4D2B">
        <w:rPr>
          <w:sz w:val="24"/>
          <w:szCs w:val="24"/>
        </w:rPr>
        <w:t>learning</w:t>
      </w:r>
      <w:r w:rsidRPr="00782E0D">
        <w:rPr>
          <w:sz w:val="24"/>
          <w:szCs w:val="24"/>
        </w:rPr>
        <w:t>.</w:t>
      </w:r>
    </w:p>
    <w:p w14:paraId="6277F24D" w14:textId="77777777" w:rsidR="007B416D" w:rsidRPr="00782E0D" w:rsidRDefault="007B416D" w:rsidP="00350185">
      <w:pPr>
        <w:pStyle w:val="BodyText"/>
        <w:rPr>
          <w:rFonts w:cs="Times New Roman"/>
        </w:rPr>
        <w:sectPr w:rsidR="007B416D" w:rsidRPr="00782E0D" w:rsidSect="00033332">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pPr>
    </w:p>
    <w:p w14:paraId="0FE947C2" w14:textId="346E2F6A" w:rsidR="007B416D" w:rsidRPr="00367678" w:rsidRDefault="007B416D" w:rsidP="007B416D">
      <w:pPr>
        <w:pStyle w:val="Heading1"/>
      </w:pPr>
      <w:r w:rsidRPr="00367678">
        <w:t>Appendix C:  Example logic model for institutional assessment based on current strategic plan</w:t>
      </w:r>
    </w:p>
    <w:p w14:paraId="03729873" w14:textId="77777777" w:rsidR="007B416D" w:rsidRPr="0004676A" w:rsidRDefault="007B416D" w:rsidP="007B416D">
      <w:pPr>
        <w:pStyle w:val="FootnoteText"/>
        <w:rPr>
          <w:rFonts w:cs="Arial"/>
        </w:rPr>
      </w:pPr>
      <w:bookmarkStart w:id="0" w:name="_GoBack"/>
      <w:bookmarkEnd w:id="0"/>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88"/>
        <w:gridCol w:w="2322"/>
        <w:gridCol w:w="2340"/>
        <w:gridCol w:w="236"/>
        <w:gridCol w:w="2374"/>
        <w:gridCol w:w="2340"/>
        <w:gridCol w:w="67"/>
        <w:gridCol w:w="2183"/>
      </w:tblGrid>
      <w:tr w:rsidR="007B416D" w:rsidRPr="00367678" w14:paraId="6AA87F84" w14:textId="77777777" w:rsidTr="00DE6151">
        <w:trPr>
          <w:cantSplit/>
          <w:trHeight w:val="43"/>
        </w:trPr>
        <w:tc>
          <w:tcPr>
            <w:tcW w:w="2358" w:type="dxa"/>
            <w:vMerge w:val="restart"/>
            <w:tcBorders>
              <w:left w:val="single" w:sz="4" w:space="0" w:color="auto"/>
            </w:tcBorders>
            <w:shd w:val="pct50" w:color="FFE161" w:fill="FFFFFF"/>
            <w:vAlign w:val="center"/>
          </w:tcPr>
          <w:p w14:paraId="5E4F2561" w14:textId="77777777" w:rsidR="007B416D" w:rsidRPr="0004676A" w:rsidRDefault="007B416D" w:rsidP="00DE6151">
            <w:pPr>
              <w:spacing w:after="0" w:line="240" w:lineRule="auto"/>
              <w:jc w:val="center"/>
              <w:rPr>
                <w:rFonts w:cs="Arial"/>
                <w:b/>
                <w:noProof/>
                <w:sz w:val="20"/>
              </w:rPr>
            </w:pPr>
            <w:r w:rsidRPr="0004676A">
              <w:rPr>
                <w:rFonts w:cs="Arial"/>
                <w:b/>
                <w:noProof/>
                <w:sz w:val="20"/>
              </w:rPr>
              <w:t>Inputs</w:t>
            </w:r>
          </w:p>
        </w:tc>
        <w:tc>
          <w:tcPr>
            <w:tcW w:w="288" w:type="dxa"/>
            <w:tcBorders>
              <w:top w:val="nil"/>
              <w:bottom w:val="nil"/>
              <w:right w:val="single" w:sz="4" w:space="0" w:color="auto"/>
            </w:tcBorders>
          </w:tcPr>
          <w:p w14:paraId="1D59DD85" w14:textId="77777777" w:rsidR="007B416D" w:rsidRPr="0004676A" w:rsidRDefault="007B416D" w:rsidP="009F0B53">
            <w:pPr>
              <w:jc w:val="center"/>
              <w:rPr>
                <w:rFonts w:cs="Arial"/>
                <w:noProof/>
                <w:sz w:val="20"/>
              </w:rPr>
            </w:pPr>
            <w:r w:rsidRPr="0004676A">
              <w:rPr>
                <w:rFonts w:cs="Arial"/>
                <w:noProof/>
                <w:sz w:val="20"/>
              </w:rPr>
              <mc:AlternateContent>
                <mc:Choice Requires="wps">
                  <w:drawing>
                    <wp:anchor distT="0" distB="0" distL="114300" distR="114300" simplePos="0" relativeHeight="251659264" behindDoc="0" locked="0" layoutInCell="1" allowOverlap="1" wp14:anchorId="091C3BFF" wp14:editId="2ED9ADE5">
                      <wp:simplePos x="0" y="0"/>
                      <wp:positionH relativeFrom="column">
                        <wp:posOffset>-40640</wp:posOffset>
                      </wp:positionH>
                      <wp:positionV relativeFrom="paragraph">
                        <wp:posOffset>9525</wp:posOffset>
                      </wp:positionV>
                      <wp:extent cx="93345" cy="365760"/>
                      <wp:effectExtent l="6985" t="85725" r="13970" b="81915"/>
                      <wp:wrapNone/>
                      <wp:docPr id="5" name="AutoShape 39" descr="Right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FC2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alt="Right arrow" style="position:absolute;margin-left:-3.2pt;margin-top:.75pt;width:7.3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"/>
                  </w:pict>
                </mc:Fallback>
              </mc:AlternateContent>
            </w:r>
          </w:p>
        </w:tc>
        <w:tc>
          <w:tcPr>
            <w:tcW w:w="4662" w:type="dxa"/>
            <w:gridSpan w:val="2"/>
            <w:tcBorders>
              <w:top w:val="single" w:sz="4" w:space="0" w:color="auto"/>
              <w:left w:val="single" w:sz="4" w:space="0" w:color="auto"/>
              <w:bottom w:val="nil"/>
              <w:right w:val="single" w:sz="4" w:space="0" w:color="auto"/>
            </w:tcBorders>
            <w:shd w:val="pct50" w:color="92D050" w:fill="FFFFFF"/>
            <w:vAlign w:val="center"/>
          </w:tcPr>
          <w:p w14:paraId="1B9404A5" w14:textId="77777777" w:rsidR="007B416D" w:rsidRPr="0004676A" w:rsidRDefault="007B416D" w:rsidP="00DE6151">
            <w:pPr>
              <w:spacing w:after="0" w:line="240" w:lineRule="auto"/>
              <w:jc w:val="center"/>
              <w:rPr>
                <w:rFonts w:cs="Arial"/>
                <w:b/>
                <w:sz w:val="20"/>
              </w:rPr>
            </w:pPr>
            <w:r w:rsidRPr="0004676A">
              <w:rPr>
                <w:rFonts w:cs="Arial"/>
                <w:b/>
                <w:sz w:val="20"/>
              </w:rPr>
              <w:t>Outputs</w:t>
            </w:r>
          </w:p>
        </w:tc>
        <w:tc>
          <w:tcPr>
            <w:tcW w:w="236" w:type="dxa"/>
            <w:tcBorders>
              <w:top w:val="nil"/>
              <w:left w:val="single" w:sz="4" w:space="0" w:color="auto"/>
              <w:bottom w:val="nil"/>
              <w:right w:val="single" w:sz="4" w:space="0" w:color="auto"/>
            </w:tcBorders>
          </w:tcPr>
          <w:p w14:paraId="1882F2CE" w14:textId="77777777" w:rsidR="007B416D" w:rsidRPr="0004676A" w:rsidRDefault="007B416D" w:rsidP="009F0B53">
            <w:pPr>
              <w:pStyle w:val="Heading3"/>
              <w:rPr>
                <w:rFonts w:cs="Arial"/>
                <w:sz w:val="20"/>
              </w:rPr>
            </w:pPr>
            <w:r w:rsidRPr="0004676A">
              <w:rPr>
                <w:rFonts w:cs="Arial"/>
                <w:noProof/>
                <w:sz w:val="20"/>
              </w:rPr>
              <mc:AlternateContent>
                <mc:Choice Requires="wps">
                  <w:drawing>
                    <wp:anchor distT="0" distB="0" distL="114300" distR="114300" simplePos="0" relativeHeight="251660288" behindDoc="0" locked="0" layoutInCell="1" allowOverlap="1" wp14:anchorId="0EF43FFC" wp14:editId="6C206400">
                      <wp:simplePos x="0" y="0"/>
                      <wp:positionH relativeFrom="column">
                        <wp:posOffset>-48260</wp:posOffset>
                      </wp:positionH>
                      <wp:positionV relativeFrom="paragraph">
                        <wp:posOffset>5080</wp:posOffset>
                      </wp:positionV>
                      <wp:extent cx="86995" cy="365760"/>
                      <wp:effectExtent l="8890" t="5080" r="18415" b="10160"/>
                      <wp:wrapNone/>
                      <wp:docPr id="8" name="AutoShape 40" descr="Right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CB4A" id="AutoShape 40" o:spid="_x0000_s1026" type="#_x0000_t13" alt="Right arrow" style="position:absolute;margin-left:-3.8pt;margin-top:.4pt;width:6.8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"/>
                  </w:pict>
                </mc:Fallback>
              </mc:AlternateContent>
            </w:r>
          </w:p>
        </w:tc>
        <w:tc>
          <w:tcPr>
            <w:tcW w:w="6964" w:type="dxa"/>
            <w:gridSpan w:val="4"/>
            <w:tcBorders>
              <w:top w:val="single" w:sz="4" w:space="0" w:color="auto"/>
              <w:left w:val="single" w:sz="4" w:space="0" w:color="auto"/>
              <w:bottom w:val="nil"/>
              <w:right w:val="single" w:sz="4" w:space="0" w:color="auto"/>
            </w:tcBorders>
            <w:shd w:val="pct50" w:color="C00000" w:fill="FFFFFF"/>
            <w:vAlign w:val="center"/>
          </w:tcPr>
          <w:p w14:paraId="72A97989" w14:textId="77777777" w:rsidR="007B416D" w:rsidRPr="00367678" w:rsidRDefault="007B416D" w:rsidP="00DE6151">
            <w:pPr>
              <w:pStyle w:val="Heading1"/>
              <w:spacing w:before="0" w:after="0"/>
              <w:rPr>
                <w:bCs/>
                <w:sz w:val="20"/>
              </w:rPr>
            </w:pPr>
            <w:r w:rsidRPr="00367678">
              <w:rPr>
                <w:bCs/>
                <w:sz w:val="20"/>
              </w:rPr>
              <w:t>Outcomes -- Impact</w:t>
            </w:r>
          </w:p>
        </w:tc>
      </w:tr>
      <w:tr w:rsidR="007B416D" w:rsidRPr="00367678" w14:paraId="329B2017" w14:textId="77777777" w:rsidTr="00DE6151">
        <w:trPr>
          <w:cantSplit/>
        </w:trPr>
        <w:tc>
          <w:tcPr>
            <w:tcW w:w="2358" w:type="dxa"/>
            <w:vMerge/>
            <w:tcBorders>
              <w:left w:val="single" w:sz="4" w:space="0" w:color="auto"/>
            </w:tcBorders>
            <w:shd w:val="pct50" w:color="FFE161" w:fill="FFFFFF"/>
          </w:tcPr>
          <w:p w14:paraId="5D30E9CE" w14:textId="77777777" w:rsidR="007B416D" w:rsidRPr="0004676A" w:rsidRDefault="007B416D" w:rsidP="009F0B53">
            <w:pPr>
              <w:jc w:val="center"/>
              <w:rPr>
                <w:rFonts w:cs="Arial"/>
                <w:sz w:val="20"/>
              </w:rPr>
            </w:pPr>
          </w:p>
        </w:tc>
        <w:tc>
          <w:tcPr>
            <w:tcW w:w="288" w:type="dxa"/>
            <w:tcBorders>
              <w:top w:val="nil"/>
              <w:bottom w:val="nil"/>
              <w:right w:val="single" w:sz="4" w:space="0" w:color="auto"/>
            </w:tcBorders>
          </w:tcPr>
          <w:p w14:paraId="38867188" w14:textId="77777777" w:rsidR="007B416D" w:rsidRPr="0004676A" w:rsidRDefault="007B416D" w:rsidP="009F0B53">
            <w:pPr>
              <w:jc w:val="center"/>
              <w:rPr>
                <w:rFonts w:cs="Arial"/>
                <w:b/>
                <w:sz w:val="20"/>
              </w:rPr>
            </w:pPr>
          </w:p>
        </w:tc>
        <w:tc>
          <w:tcPr>
            <w:tcW w:w="2322" w:type="dxa"/>
            <w:tcBorders>
              <w:top w:val="nil"/>
              <w:left w:val="single" w:sz="4" w:space="0" w:color="auto"/>
              <w:bottom w:val="single" w:sz="4" w:space="0" w:color="auto"/>
              <w:right w:val="nil"/>
            </w:tcBorders>
            <w:shd w:val="pct50" w:color="92D050" w:fill="FFFFFF"/>
            <w:vAlign w:val="center"/>
          </w:tcPr>
          <w:p w14:paraId="18BE4540" w14:textId="77777777" w:rsidR="007B416D" w:rsidRPr="00DE6151" w:rsidRDefault="007B416D" w:rsidP="00DE6151">
            <w:pPr>
              <w:spacing w:after="0" w:line="240" w:lineRule="auto"/>
              <w:jc w:val="center"/>
              <w:rPr>
                <w:rFonts w:cs="Arial"/>
                <w:b/>
                <w:i/>
                <w:sz w:val="20"/>
              </w:rPr>
            </w:pPr>
            <w:r w:rsidRPr="00DE6151">
              <w:rPr>
                <w:rFonts w:cs="Arial"/>
                <w:b/>
                <w:i/>
                <w:sz w:val="20"/>
              </w:rPr>
              <w:t>Activities</w:t>
            </w:r>
          </w:p>
        </w:tc>
        <w:tc>
          <w:tcPr>
            <w:tcW w:w="2340" w:type="dxa"/>
            <w:tcBorders>
              <w:top w:val="nil"/>
              <w:left w:val="nil"/>
              <w:bottom w:val="single" w:sz="4" w:space="0" w:color="auto"/>
              <w:right w:val="single" w:sz="4" w:space="0" w:color="auto"/>
            </w:tcBorders>
            <w:shd w:val="pct50" w:color="92D050" w:fill="FFFFFF"/>
            <w:vAlign w:val="center"/>
          </w:tcPr>
          <w:p w14:paraId="56736FBB" w14:textId="77777777" w:rsidR="007B416D" w:rsidRPr="00DE6151" w:rsidRDefault="007B416D" w:rsidP="00DE6151">
            <w:pPr>
              <w:spacing w:after="0" w:line="240" w:lineRule="auto"/>
              <w:jc w:val="center"/>
              <w:rPr>
                <w:rFonts w:cs="Arial"/>
                <w:b/>
                <w:i/>
                <w:sz w:val="20"/>
              </w:rPr>
            </w:pPr>
            <w:r w:rsidRPr="00DE6151">
              <w:rPr>
                <w:rFonts w:cs="Arial"/>
                <w:b/>
                <w:i/>
                <w:sz w:val="20"/>
              </w:rPr>
              <w:t>Participation</w:t>
            </w:r>
          </w:p>
        </w:tc>
        <w:tc>
          <w:tcPr>
            <w:tcW w:w="236" w:type="dxa"/>
            <w:tcBorders>
              <w:top w:val="nil"/>
              <w:left w:val="single" w:sz="4" w:space="0" w:color="auto"/>
              <w:bottom w:val="nil"/>
              <w:right w:val="single" w:sz="4" w:space="0" w:color="auto"/>
            </w:tcBorders>
            <w:vAlign w:val="center"/>
          </w:tcPr>
          <w:p w14:paraId="25923DB7" w14:textId="77777777" w:rsidR="007B416D" w:rsidRPr="00DE6151" w:rsidRDefault="007B416D" w:rsidP="00DE6151">
            <w:pPr>
              <w:jc w:val="center"/>
              <w:rPr>
                <w:rFonts w:cs="Arial"/>
                <w:b/>
                <w:sz w:val="20"/>
              </w:rPr>
            </w:pPr>
          </w:p>
        </w:tc>
        <w:tc>
          <w:tcPr>
            <w:tcW w:w="2374" w:type="dxa"/>
            <w:tcBorders>
              <w:top w:val="nil"/>
              <w:left w:val="single" w:sz="4" w:space="0" w:color="auto"/>
              <w:bottom w:val="single" w:sz="4" w:space="0" w:color="auto"/>
              <w:right w:val="nil"/>
            </w:tcBorders>
            <w:shd w:val="pct50" w:color="C00000" w:fill="FFFFFF"/>
            <w:vAlign w:val="center"/>
          </w:tcPr>
          <w:p w14:paraId="765654B8" w14:textId="77777777" w:rsidR="007B416D" w:rsidRPr="00DE6151" w:rsidRDefault="007B416D" w:rsidP="00DE6151">
            <w:pPr>
              <w:pStyle w:val="Heading5"/>
              <w:jc w:val="center"/>
              <w:rPr>
                <w:rFonts w:asciiTheme="minorHAnsi" w:hAnsiTheme="minorHAnsi" w:cs="Arial"/>
                <w:b/>
                <w:i/>
                <w:color w:val="auto"/>
                <w:sz w:val="20"/>
              </w:rPr>
            </w:pPr>
            <w:r w:rsidRPr="00DE6151">
              <w:rPr>
                <w:rFonts w:asciiTheme="minorHAnsi" w:hAnsiTheme="minorHAnsi" w:cs="Arial"/>
                <w:b/>
                <w:i/>
                <w:color w:val="auto"/>
                <w:sz w:val="20"/>
              </w:rPr>
              <w:t>Immediate outcomes</w:t>
            </w:r>
          </w:p>
        </w:tc>
        <w:tc>
          <w:tcPr>
            <w:tcW w:w="2407" w:type="dxa"/>
            <w:gridSpan w:val="2"/>
            <w:tcBorders>
              <w:top w:val="nil"/>
              <w:left w:val="nil"/>
              <w:bottom w:val="single" w:sz="4" w:space="0" w:color="auto"/>
              <w:right w:val="nil"/>
            </w:tcBorders>
            <w:shd w:val="pct50" w:color="C00000" w:fill="FFFFFF"/>
            <w:vAlign w:val="center"/>
          </w:tcPr>
          <w:p w14:paraId="68FCFC5F" w14:textId="77777777" w:rsidR="007B416D" w:rsidRPr="00DE6151" w:rsidRDefault="007B416D" w:rsidP="00DE6151">
            <w:pPr>
              <w:pStyle w:val="Heading5"/>
              <w:jc w:val="center"/>
              <w:rPr>
                <w:rFonts w:asciiTheme="minorHAnsi" w:hAnsiTheme="minorHAnsi" w:cs="Arial"/>
                <w:b/>
                <w:i/>
                <w:color w:val="auto"/>
                <w:sz w:val="20"/>
              </w:rPr>
            </w:pPr>
            <w:r w:rsidRPr="00DE6151">
              <w:rPr>
                <w:rFonts w:asciiTheme="minorHAnsi" w:hAnsiTheme="minorHAnsi" w:cs="Arial"/>
                <w:b/>
                <w:i/>
                <w:color w:val="auto"/>
                <w:sz w:val="20"/>
              </w:rPr>
              <w:t>Strategic Goal &amp; Indicator</w:t>
            </w:r>
          </w:p>
        </w:tc>
        <w:tc>
          <w:tcPr>
            <w:tcW w:w="2183" w:type="dxa"/>
            <w:tcBorders>
              <w:top w:val="nil"/>
              <w:left w:val="nil"/>
              <w:bottom w:val="single" w:sz="4" w:space="0" w:color="auto"/>
              <w:right w:val="single" w:sz="4" w:space="0" w:color="auto"/>
            </w:tcBorders>
            <w:shd w:val="pct50" w:color="C00000" w:fill="FFFFFF"/>
            <w:vAlign w:val="center"/>
          </w:tcPr>
          <w:p w14:paraId="4C6AA725" w14:textId="77777777" w:rsidR="007B416D" w:rsidRPr="00DE6151" w:rsidRDefault="007B416D" w:rsidP="00DE6151">
            <w:pPr>
              <w:pStyle w:val="Heading5"/>
              <w:jc w:val="center"/>
              <w:rPr>
                <w:rFonts w:asciiTheme="minorHAnsi" w:hAnsiTheme="minorHAnsi" w:cs="Arial"/>
                <w:b/>
                <w:i/>
                <w:color w:val="auto"/>
                <w:sz w:val="20"/>
              </w:rPr>
            </w:pPr>
            <w:r w:rsidRPr="00DE6151">
              <w:rPr>
                <w:rFonts w:asciiTheme="minorHAnsi" w:hAnsiTheme="minorHAnsi" w:cs="Arial"/>
                <w:b/>
                <w:i/>
                <w:color w:val="auto"/>
                <w:sz w:val="20"/>
              </w:rPr>
              <w:t>Core Theme Indicator</w:t>
            </w:r>
          </w:p>
        </w:tc>
      </w:tr>
      <w:tr w:rsidR="007B416D" w:rsidRPr="00367678" w14:paraId="2B9B8A7A" w14:textId="77777777" w:rsidTr="00DE6151">
        <w:trPr>
          <w:cantSplit/>
          <w:trHeight w:val="7200"/>
        </w:trPr>
        <w:tc>
          <w:tcPr>
            <w:tcW w:w="2358" w:type="dxa"/>
            <w:tcBorders>
              <w:left w:val="single" w:sz="4" w:space="0" w:color="auto"/>
              <w:bottom w:val="single" w:sz="4" w:space="0" w:color="auto"/>
            </w:tcBorders>
          </w:tcPr>
          <w:p w14:paraId="042AF08B" w14:textId="77777777" w:rsidR="007B416D" w:rsidRPr="0004676A" w:rsidRDefault="007B416D" w:rsidP="009F0B53">
            <w:pPr>
              <w:pStyle w:val="FootnoteText"/>
              <w:rPr>
                <w:rFonts w:cs="Arial"/>
                <w:sz w:val="22"/>
                <w:szCs w:val="22"/>
              </w:rPr>
            </w:pPr>
          </w:p>
          <w:p w14:paraId="7E5AC455" w14:textId="77777777" w:rsidR="007B416D" w:rsidRPr="0004676A" w:rsidRDefault="007B416D" w:rsidP="009F0B53">
            <w:pPr>
              <w:pStyle w:val="FootnoteText"/>
              <w:rPr>
                <w:rFonts w:cs="Arial"/>
                <w:sz w:val="22"/>
                <w:szCs w:val="22"/>
              </w:rPr>
            </w:pPr>
            <w:r w:rsidRPr="0004676A">
              <w:rPr>
                <w:rFonts w:cs="Arial"/>
                <w:sz w:val="22"/>
                <w:szCs w:val="22"/>
              </w:rPr>
              <w:t>Facilities staff time</w:t>
            </w:r>
          </w:p>
          <w:p w14:paraId="7B2AE7C9" w14:textId="77777777" w:rsidR="007B416D" w:rsidRPr="0004676A" w:rsidRDefault="007B416D" w:rsidP="009F0B53">
            <w:pPr>
              <w:pStyle w:val="FootnoteText"/>
              <w:rPr>
                <w:rFonts w:cs="Arial"/>
                <w:sz w:val="22"/>
                <w:szCs w:val="22"/>
              </w:rPr>
            </w:pPr>
          </w:p>
          <w:p w14:paraId="380B146A" w14:textId="77777777" w:rsidR="007B416D" w:rsidRPr="0004676A" w:rsidRDefault="007B416D" w:rsidP="009F0B53">
            <w:pPr>
              <w:pStyle w:val="FootnoteText"/>
              <w:rPr>
                <w:rFonts w:cs="Arial"/>
                <w:sz w:val="22"/>
                <w:szCs w:val="22"/>
              </w:rPr>
            </w:pPr>
            <w:r w:rsidRPr="0004676A">
              <w:rPr>
                <w:rFonts w:cs="Arial"/>
                <w:sz w:val="22"/>
                <w:szCs w:val="22"/>
              </w:rPr>
              <w:t>Materials</w:t>
            </w:r>
          </w:p>
          <w:p w14:paraId="1C1AECDE" w14:textId="77777777" w:rsidR="007B416D" w:rsidRPr="0004676A" w:rsidRDefault="007B416D" w:rsidP="009F0B53">
            <w:pPr>
              <w:pStyle w:val="FootnoteText"/>
              <w:rPr>
                <w:rFonts w:cs="Arial"/>
                <w:sz w:val="22"/>
                <w:szCs w:val="22"/>
              </w:rPr>
            </w:pPr>
          </w:p>
          <w:p w14:paraId="4FFDC9A1" w14:textId="77777777" w:rsidR="007B416D" w:rsidRPr="0004676A" w:rsidRDefault="007B416D" w:rsidP="009F0B53">
            <w:pPr>
              <w:pStyle w:val="FootnoteText"/>
              <w:rPr>
                <w:rFonts w:cs="Arial"/>
                <w:sz w:val="22"/>
                <w:szCs w:val="22"/>
              </w:rPr>
            </w:pPr>
            <w:r w:rsidRPr="0004676A">
              <w:rPr>
                <w:rFonts w:cs="Arial"/>
                <w:sz w:val="22"/>
                <w:szCs w:val="22"/>
              </w:rPr>
              <w:t>Faculty time</w:t>
            </w:r>
          </w:p>
          <w:p w14:paraId="562CFC2E" w14:textId="77777777" w:rsidR="007B416D" w:rsidRPr="0004676A" w:rsidRDefault="007B416D" w:rsidP="009F0B53">
            <w:pPr>
              <w:pStyle w:val="FootnoteText"/>
              <w:rPr>
                <w:rFonts w:cs="Arial"/>
                <w:sz w:val="22"/>
                <w:szCs w:val="22"/>
              </w:rPr>
            </w:pPr>
          </w:p>
          <w:p w14:paraId="16D3509F" w14:textId="77777777" w:rsidR="007B416D" w:rsidRPr="0004676A" w:rsidRDefault="007B416D" w:rsidP="009F0B53">
            <w:pPr>
              <w:pStyle w:val="FootnoteText"/>
              <w:rPr>
                <w:rFonts w:cs="Arial"/>
                <w:sz w:val="22"/>
                <w:szCs w:val="22"/>
              </w:rPr>
            </w:pPr>
            <w:r w:rsidRPr="0004676A">
              <w:rPr>
                <w:rFonts w:cs="Arial"/>
                <w:sz w:val="22"/>
                <w:szCs w:val="22"/>
              </w:rPr>
              <w:t>Contracted funding</w:t>
            </w:r>
          </w:p>
          <w:p w14:paraId="43C8AA6B" w14:textId="77777777" w:rsidR="007B416D" w:rsidRPr="0004676A" w:rsidRDefault="007B416D" w:rsidP="009F0B53">
            <w:pPr>
              <w:pStyle w:val="FootnoteText"/>
              <w:rPr>
                <w:rFonts w:cs="Arial"/>
                <w:sz w:val="22"/>
                <w:szCs w:val="22"/>
              </w:rPr>
            </w:pPr>
          </w:p>
          <w:p w14:paraId="043EAFBB" w14:textId="77777777" w:rsidR="007B416D" w:rsidRPr="0004676A" w:rsidRDefault="007B416D" w:rsidP="009F0B53">
            <w:pPr>
              <w:pStyle w:val="FootnoteText"/>
              <w:rPr>
                <w:rFonts w:cs="Arial"/>
                <w:sz w:val="22"/>
                <w:szCs w:val="22"/>
              </w:rPr>
            </w:pPr>
            <w:r w:rsidRPr="0004676A">
              <w:rPr>
                <w:rFonts w:cs="Arial"/>
                <w:sz w:val="22"/>
                <w:szCs w:val="22"/>
              </w:rPr>
              <w:t>Administrator time</w:t>
            </w:r>
          </w:p>
        </w:tc>
        <w:tc>
          <w:tcPr>
            <w:tcW w:w="288" w:type="dxa"/>
            <w:tcBorders>
              <w:top w:val="nil"/>
              <w:bottom w:val="nil"/>
            </w:tcBorders>
          </w:tcPr>
          <w:p w14:paraId="73E838C6" w14:textId="77777777" w:rsidR="007B416D" w:rsidRPr="0004676A" w:rsidRDefault="007B416D" w:rsidP="009F0B53">
            <w:pPr>
              <w:rPr>
                <w:rFonts w:cs="Arial"/>
              </w:rPr>
            </w:pPr>
          </w:p>
        </w:tc>
        <w:tc>
          <w:tcPr>
            <w:tcW w:w="2322" w:type="dxa"/>
            <w:tcBorders>
              <w:top w:val="single" w:sz="4" w:space="0" w:color="auto"/>
              <w:bottom w:val="single" w:sz="4" w:space="0" w:color="auto"/>
              <w:right w:val="nil"/>
            </w:tcBorders>
          </w:tcPr>
          <w:p w14:paraId="2ED70BB3" w14:textId="77777777" w:rsidR="007B416D" w:rsidRPr="0004676A" w:rsidRDefault="007B416D" w:rsidP="009F0B53">
            <w:pPr>
              <w:rPr>
                <w:rFonts w:cs="Arial"/>
              </w:rPr>
            </w:pPr>
          </w:p>
          <w:p w14:paraId="0AE8B0F7" w14:textId="77777777" w:rsidR="007B416D" w:rsidRPr="0004676A" w:rsidRDefault="007B416D" w:rsidP="009F0B53">
            <w:pPr>
              <w:rPr>
                <w:rFonts w:cs="Arial"/>
              </w:rPr>
            </w:pPr>
            <w:r w:rsidRPr="0004676A">
              <w:rPr>
                <w:rFonts w:cs="Arial"/>
              </w:rPr>
              <w:t>Convert Math Learning Center into classrooms</w:t>
            </w:r>
          </w:p>
          <w:p w14:paraId="1BD9AC87" w14:textId="77777777" w:rsidR="007B416D" w:rsidRPr="0004676A" w:rsidRDefault="007B416D" w:rsidP="009F0B53">
            <w:pPr>
              <w:rPr>
                <w:rFonts w:cs="Arial"/>
              </w:rPr>
            </w:pPr>
            <w:r w:rsidRPr="0004676A">
              <w:rPr>
                <w:rFonts w:cs="Arial"/>
              </w:rPr>
              <w:t>Move Math Learning Center to central location in library</w:t>
            </w:r>
          </w:p>
        </w:tc>
        <w:tc>
          <w:tcPr>
            <w:tcW w:w="2340" w:type="dxa"/>
            <w:tcBorders>
              <w:top w:val="single" w:sz="4" w:space="0" w:color="auto"/>
              <w:bottom w:val="single" w:sz="4" w:space="0" w:color="auto"/>
            </w:tcBorders>
          </w:tcPr>
          <w:p w14:paraId="08BC84BF" w14:textId="77777777" w:rsidR="007B416D" w:rsidRPr="0004676A" w:rsidRDefault="007B416D" w:rsidP="009F0B53">
            <w:pPr>
              <w:rPr>
                <w:rFonts w:cs="Arial"/>
              </w:rPr>
            </w:pPr>
          </w:p>
          <w:p w14:paraId="433D54B9" w14:textId="77777777" w:rsidR="007B416D" w:rsidRPr="0004676A" w:rsidRDefault="007B416D" w:rsidP="009F0B53">
            <w:pPr>
              <w:rPr>
                <w:rFonts w:cs="Arial"/>
              </w:rPr>
            </w:pPr>
            <w:r w:rsidRPr="0004676A">
              <w:rPr>
                <w:rFonts w:cs="Arial"/>
              </w:rPr>
              <w:t># of additional sections offered</w:t>
            </w:r>
          </w:p>
          <w:p w14:paraId="22E82609" w14:textId="77777777" w:rsidR="007B416D" w:rsidRPr="0004676A" w:rsidRDefault="007B416D" w:rsidP="009F0B53">
            <w:pPr>
              <w:rPr>
                <w:rFonts w:cs="Arial"/>
              </w:rPr>
            </w:pPr>
            <w:r w:rsidRPr="0004676A">
              <w:rPr>
                <w:rFonts w:cs="Arial"/>
              </w:rPr>
              <w:t># of students served by Math Learning Center</w:t>
            </w:r>
          </w:p>
          <w:p w14:paraId="3F07DF2B" w14:textId="77777777" w:rsidR="007B416D" w:rsidRPr="0004676A" w:rsidRDefault="007B416D" w:rsidP="009F0B53">
            <w:pPr>
              <w:rPr>
                <w:rFonts w:cs="Arial"/>
              </w:rPr>
            </w:pPr>
          </w:p>
        </w:tc>
        <w:tc>
          <w:tcPr>
            <w:tcW w:w="236" w:type="dxa"/>
            <w:tcBorders>
              <w:top w:val="nil"/>
              <w:left w:val="nil"/>
              <w:bottom w:val="nil"/>
            </w:tcBorders>
          </w:tcPr>
          <w:p w14:paraId="2C093B6E" w14:textId="77777777" w:rsidR="007B416D" w:rsidRPr="0004676A" w:rsidRDefault="007B416D" w:rsidP="009F0B53">
            <w:pPr>
              <w:rPr>
                <w:rFonts w:cs="Arial"/>
              </w:rPr>
            </w:pPr>
          </w:p>
        </w:tc>
        <w:tc>
          <w:tcPr>
            <w:tcW w:w="2374" w:type="dxa"/>
            <w:tcBorders>
              <w:top w:val="single" w:sz="4" w:space="0" w:color="auto"/>
              <w:bottom w:val="single" w:sz="4" w:space="0" w:color="auto"/>
            </w:tcBorders>
          </w:tcPr>
          <w:p w14:paraId="7939B762" w14:textId="77777777" w:rsidR="007B416D" w:rsidRPr="0004676A" w:rsidRDefault="007B416D" w:rsidP="009F0B53">
            <w:pPr>
              <w:rPr>
                <w:rFonts w:cs="Arial"/>
              </w:rPr>
            </w:pPr>
          </w:p>
          <w:p w14:paraId="363D354B" w14:textId="77777777" w:rsidR="007B416D" w:rsidRPr="0004676A" w:rsidRDefault="007B416D" w:rsidP="009F0B53">
            <w:pPr>
              <w:rPr>
                <w:rFonts w:cs="Arial"/>
              </w:rPr>
            </w:pPr>
          </w:p>
          <w:p w14:paraId="6532607A" w14:textId="1EA15A7E" w:rsidR="007B416D" w:rsidRPr="0004676A" w:rsidRDefault="007B416D" w:rsidP="009F0B53">
            <w:pPr>
              <w:rPr>
                <w:rFonts w:cs="Arial"/>
              </w:rPr>
            </w:pPr>
            <w:r w:rsidRPr="0004676A">
              <w:rPr>
                <w:rFonts w:cs="Arial"/>
              </w:rPr>
              <w:t xml:space="preserve">Decrease </w:t>
            </w:r>
            <w:r w:rsidR="00841253">
              <w:rPr>
                <w:rFonts w:cs="Arial"/>
              </w:rPr>
              <w:t>in waitlists for target classes</w:t>
            </w:r>
          </w:p>
          <w:p w14:paraId="58AC072E" w14:textId="77777777" w:rsidR="007B416D" w:rsidRPr="0004676A" w:rsidRDefault="007B416D" w:rsidP="009F0B53">
            <w:pPr>
              <w:rPr>
                <w:rFonts w:cs="Arial"/>
              </w:rPr>
            </w:pPr>
          </w:p>
          <w:p w14:paraId="5A9C47E6" w14:textId="77777777" w:rsidR="007B416D" w:rsidRPr="0004676A" w:rsidRDefault="007B416D" w:rsidP="009F0B53">
            <w:pPr>
              <w:rPr>
                <w:rFonts w:cs="Arial"/>
              </w:rPr>
            </w:pPr>
          </w:p>
          <w:p w14:paraId="387F3ABE" w14:textId="77777777" w:rsidR="007B416D" w:rsidRPr="0004676A" w:rsidRDefault="007B416D" w:rsidP="009F0B53">
            <w:pPr>
              <w:rPr>
                <w:rFonts w:cs="Arial"/>
              </w:rPr>
            </w:pPr>
          </w:p>
          <w:p w14:paraId="03FD4BFE" w14:textId="77777777" w:rsidR="007B416D" w:rsidRPr="0004676A" w:rsidRDefault="007B416D" w:rsidP="009F0B53">
            <w:pPr>
              <w:rPr>
                <w:rFonts w:cs="Arial"/>
              </w:rPr>
            </w:pPr>
            <w:r w:rsidRPr="0004676A">
              <w:rPr>
                <w:rFonts w:cs="Arial"/>
              </w:rPr>
              <w:t>Increased passing rates in math</w:t>
            </w:r>
          </w:p>
        </w:tc>
        <w:tc>
          <w:tcPr>
            <w:tcW w:w="2340" w:type="dxa"/>
            <w:tcBorders>
              <w:top w:val="single" w:sz="4" w:space="0" w:color="auto"/>
              <w:bottom w:val="single" w:sz="4" w:space="0" w:color="auto"/>
            </w:tcBorders>
          </w:tcPr>
          <w:p w14:paraId="2758EEE5" w14:textId="77777777" w:rsidR="007B416D" w:rsidRPr="0004676A" w:rsidRDefault="007B416D" w:rsidP="009F0B53">
            <w:pPr>
              <w:rPr>
                <w:rFonts w:cs="Arial"/>
              </w:rPr>
            </w:pPr>
          </w:p>
          <w:p w14:paraId="19D193B2" w14:textId="77777777" w:rsidR="007B416D" w:rsidRPr="0004676A" w:rsidRDefault="007B416D" w:rsidP="009F0B53">
            <w:pPr>
              <w:rPr>
                <w:rFonts w:cs="Arial"/>
              </w:rPr>
            </w:pPr>
            <w:r w:rsidRPr="0004676A">
              <w:rPr>
                <w:rFonts w:cs="Arial"/>
              </w:rPr>
              <w:t>1.1b. Increase student access through class offerings and improved scheduling</w:t>
            </w:r>
          </w:p>
          <w:p w14:paraId="181BD89A" w14:textId="77777777" w:rsidR="007B416D" w:rsidRPr="0004676A" w:rsidRDefault="007B416D" w:rsidP="009F0B53">
            <w:pPr>
              <w:rPr>
                <w:rFonts w:cs="Arial"/>
              </w:rPr>
            </w:pPr>
            <w:r w:rsidRPr="0004676A">
              <w:rPr>
                <w:rFonts w:cs="Arial"/>
              </w:rPr>
              <w:t>Indicator:  Increased overall enrollment</w:t>
            </w:r>
          </w:p>
          <w:p w14:paraId="7F51439D" w14:textId="77777777" w:rsidR="007B416D" w:rsidRPr="0004676A" w:rsidRDefault="007B416D" w:rsidP="009F0B53">
            <w:pPr>
              <w:rPr>
                <w:rFonts w:cs="Arial"/>
              </w:rPr>
            </w:pPr>
          </w:p>
          <w:p w14:paraId="6B9BDCA9" w14:textId="77777777" w:rsidR="007B416D" w:rsidRPr="0004676A" w:rsidRDefault="007B416D" w:rsidP="009F0B53">
            <w:pPr>
              <w:rPr>
                <w:rFonts w:cs="Arial"/>
              </w:rPr>
            </w:pPr>
            <w:r w:rsidRPr="0004676A">
              <w:rPr>
                <w:rFonts w:cs="Arial"/>
              </w:rPr>
              <w:t>1.3 Increase enrollment, retention and completion</w:t>
            </w:r>
          </w:p>
          <w:p w14:paraId="2F1952DD" w14:textId="77777777" w:rsidR="00841253" w:rsidRDefault="00841253" w:rsidP="009F0B53">
            <w:pPr>
              <w:rPr>
                <w:rFonts w:cs="Arial"/>
              </w:rPr>
            </w:pPr>
          </w:p>
          <w:p w14:paraId="5B0B23E1" w14:textId="77777777" w:rsidR="007B416D" w:rsidRPr="0004676A" w:rsidRDefault="007B416D" w:rsidP="009F0B53">
            <w:pPr>
              <w:rPr>
                <w:rFonts w:cs="Arial"/>
              </w:rPr>
            </w:pPr>
            <w:r w:rsidRPr="0004676A">
              <w:rPr>
                <w:rFonts w:cs="Arial"/>
              </w:rPr>
              <w:t>Increased retention due to higher math success rates</w:t>
            </w:r>
          </w:p>
        </w:tc>
        <w:tc>
          <w:tcPr>
            <w:tcW w:w="2250" w:type="dxa"/>
            <w:gridSpan w:val="2"/>
            <w:tcBorders>
              <w:top w:val="single" w:sz="4" w:space="0" w:color="auto"/>
              <w:bottom w:val="single" w:sz="4" w:space="0" w:color="auto"/>
            </w:tcBorders>
          </w:tcPr>
          <w:p w14:paraId="556C5A2F" w14:textId="77777777" w:rsidR="007B416D" w:rsidRPr="0004676A" w:rsidRDefault="007B416D" w:rsidP="009F0B53">
            <w:pPr>
              <w:rPr>
                <w:rFonts w:cs="Arial"/>
              </w:rPr>
            </w:pPr>
          </w:p>
          <w:p w14:paraId="38CCA90C" w14:textId="77777777" w:rsidR="007B416D" w:rsidRPr="0004676A" w:rsidRDefault="007B416D" w:rsidP="009F0B53">
            <w:pPr>
              <w:rPr>
                <w:rFonts w:cs="Arial"/>
              </w:rPr>
            </w:pPr>
            <w:r w:rsidRPr="0004676A">
              <w:rPr>
                <w:rFonts w:cs="Arial"/>
              </w:rPr>
              <w:t>Student Success/ Educational Attainment</w:t>
            </w:r>
          </w:p>
          <w:p w14:paraId="1E7E0163" w14:textId="77777777" w:rsidR="007B416D" w:rsidRPr="0004676A" w:rsidRDefault="007B416D" w:rsidP="009F0B53">
            <w:pPr>
              <w:rPr>
                <w:rFonts w:cs="Arial"/>
              </w:rPr>
            </w:pPr>
            <w:r w:rsidRPr="0004676A">
              <w:rPr>
                <w:rFonts w:cs="Arial"/>
              </w:rPr>
              <w:t>Indicator 1.1.1</w:t>
            </w:r>
          </w:p>
          <w:p w14:paraId="6307E624" w14:textId="77777777" w:rsidR="007B416D" w:rsidRPr="0004676A" w:rsidRDefault="007B416D" w:rsidP="009F0B53">
            <w:pPr>
              <w:rPr>
                <w:rFonts w:cs="Arial"/>
              </w:rPr>
            </w:pPr>
            <w:r w:rsidRPr="0004676A">
              <w:rPr>
                <w:rFonts w:cs="Arial"/>
              </w:rPr>
              <w:t>Increased graduation rate</w:t>
            </w:r>
          </w:p>
          <w:p w14:paraId="4114CF3D" w14:textId="77777777" w:rsidR="007B416D" w:rsidRPr="0004676A" w:rsidRDefault="007B416D" w:rsidP="009F0B53">
            <w:pPr>
              <w:rPr>
                <w:rFonts w:cs="Arial"/>
              </w:rPr>
            </w:pPr>
          </w:p>
          <w:p w14:paraId="565F4108" w14:textId="77777777" w:rsidR="007B416D" w:rsidRPr="0004676A" w:rsidRDefault="007B416D" w:rsidP="009F0B53">
            <w:pPr>
              <w:rPr>
                <w:rFonts w:cs="Arial"/>
              </w:rPr>
            </w:pPr>
            <w:r w:rsidRPr="0004676A">
              <w:rPr>
                <w:rFonts w:cs="Arial"/>
              </w:rPr>
              <w:t>Indicator 1.2.2</w:t>
            </w:r>
          </w:p>
          <w:p w14:paraId="1F4EC300" w14:textId="77777777" w:rsidR="007B416D" w:rsidRPr="0004676A" w:rsidRDefault="007B416D" w:rsidP="009F0B53">
            <w:pPr>
              <w:rPr>
                <w:rFonts w:cs="Arial"/>
              </w:rPr>
            </w:pPr>
            <w:r w:rsidRPr="0004676A">
              <w:rPr>
                <w:rFonts w:cs="Arial"/>
              </w:rPr>
              <w:t>Increases in % of transfer students reaching their quantitative point</w:t>
            </w:r>
          </w:p>
        </w:tc>
      </w:tr>
    </w:tbl>
    <w:p w14:paraId="72DB92F3" w14:textId="510907AA" w:rsidR="00350185" w:rsidRPr="0004676A" w:rsidRDefault="00350185" w:rsidP="00350185">
      <w:pPr>
        <w:pStyle w:val="BodyText"/>
        <w:rPr>
          <w:rFonts w:cs="Times New Roman"/>
        </w:rPr>
      </w:pPr>
    </w:p>
    <w:sectPr w:rsidR="00350185" w:rsidRPr="0004676A" w:rsidSect="007B416D">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9927" w14:textId="77777777" w:rsidR="002977DB" w:rsidRDefault="002977DB" w:rsidP="00DB07B9">
      <w:pPr>
        <w:spacing w:after="0" w:line="240" w:lineRule="auto"/>
      </w:pPr>
      <w:r>
        <w:separator/>
      </w:r>
    </w:p>
  </w:endnote>
  <w:endnote w:type="continuationSeparator" w:id="0">
    <w:p w14:paraId="171083D7" w14:textId="77777777" w:rsidR="002977DB" w:rsidRDefault="002977DB" w:rsidP="00DB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A75C" w14:textId="5F79B4B2" w:rsidR="002977DB" w:rsidRPr="00B15B45" w:rsidRDefault="002977DB">
    <w:pPr>
      <w:pStyle w:val="Footer"/>
      <w:rPr>
        <w:sz w:val="20"/>
        <w:szCs w:val="20"/>
      </w:rPr>
    </w:pPr>
    <w:r w:rsidRPr="00B15B45">
      <w:rPr>
        <w:sz w:val="20"/>
        <w:szCs w:val="20"/>
      </w:rPr>
      <w:t xml:space="preserve">Shoreline Community College, </w:t>
    </w:r>
    <w:r w:rsidR="00477222" w:rsidRPr="00477222">
      <w:rPr>
        <w:sz w:val="20"/>
        <w:szCs w:val="20"/>
      </w:rPr>
      <w:t>Mid-Cycle Self-Evaluation Report</w:t>
    </w:r>
    <w:r w:rsidRPr="00B15B45">
      <w:rPr>
        <w:sz w:val="20"/>
        <w:szCs w:val="20"/>
      </w:rPr>
      <w:tab/>
    </w:r>
    <w:r w:rsidRPr="00B15B45">
      <w:rPr>
        <w:sz w:val="20"/>
        <w:szCs w:val="20"/>
      </w:rPr>
      <w:fldChar w:fldCharType="begin"/>
    </w:r>
    <w:r w:rsidRPr="00B15B45">
      <w:rPr>
        <w:sz w:val="20"/>
        <w:szCs w:val="20"/>
      </w:rPr>
      <w:instrText xml:space="preserve"> PAGE   \* MERGEFORMAT </w:instrText>
    </w:r>
    <w:r w:rsidRPr="00B15B45">
      <w:rPr>
        <w:sz w:val="20"/>
        <w:szCs w:val="20"/>
      </w:rPr>
      <w:fldChar w:fldCharType="separate"/>
    </w:r>
    <w:r w:rsidR="00747EA8">
      <w:rPr>
        <w:noProof/>
        <w:sz w:val="20"/>
        <w:szCs w:val="20"/>
      </w:rPr>
      <w:t>6</w:t>
    </w:r>
    <w:r w:rsidRPr="00B15B45">
      <w:rPr>
        <w:noProof/>
        <w:sz w:val="20"/>
        <w:szCs w:val="20"/>
      </w:rPr>
      <w:fldChar w:fldCharType="end"/>
    </w:r>
    <w:r w:rsidR="008F2B85">
      <w:rPr>
        <w:noProof/>
        <w:sz w:val="20"/>
        <w:szCs w:val="20"/>
      </w:rPr>
      <w:br/>
      <w:t>Appendix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E821" w14:textId="77777777" w:rsidR="006F0676" w:rsidRDefault="00747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CB09" w14:textId="6E752E3B" w:rsidR="0097436A" w:rsidRPr="007B416D" w:rsidRDefault="007B416D" w:rsidP="007B416D">
    <w:pPr>
      <w:pStyle w:val="Footer"/>
      <w:rPr>
        <w:sz w:val="20"/>
        <w:szCs w:val="20"/>
      </w:rPr>
    </w:pPr>
    <w:r w:rsidRPr="00B15B45">
      <w:rPr>
        <w:sz w:val="20"/>
        <w:szCs w:val="20"/>
      </w:rPr>
      <w:t xml:space="preserve">Shoreline Community College, Mid-Cycle </w:t>
    </w:r>
    <w:r w:rsidR="00477222">
      <w:rPr>
        <w:sz w:val="20"/>
        <w:szCs w:val="20"/>
      </w:rPr>
      <w:t>Self-Evaluation Report</w:t>
    </w:r>
    <w:r w:rsidRPr="00B15B45">
      <w:rPr>
        <w:sz w:val="20"/>
        <w:szCs w:val="20"/>
      </w:rPr>
      <w:tab/>
    </w:r>
    <w:r w:rsidRPr="00B15B45">
      <w:rPr>
        <w:sz w:val="20"/>
        <w:szCs w:val="20"/>
      </w:rPr>
      <w:fldChar w:fldCharType="begin"/>
    </w:r>
    <w:r w:rsidRPr="00B15B45">
      <w:rPr>
        <w:sz w:val="20"/>
        <w:szCs w:val="20"/>
      </w:rPr>
      <w:instrText xml:space="preserve"> PAGE   \* MERGEFORMAT </w:instrText>
    </w:r>
    <w:r w:rsidRPr="00B15B45">
      <w:rPr>
        <w:sz w:val="20"/>
        <w:szCs w:val="20"/>
      </w:rPr>
      <w:fldChar w:fldCharType="separate"/>
    </w:r>
    <w:r w:rsidR="00747EA8">
      <w:rPr>
        <w:noProof/>
        <w:sz w:val="20"/>
        <w:szCs w:val="20"/>
      </w:rPr>
      <w:t>7</w:t>
    </w:r>
    <w:r w:rsidRPr="00B15B45">
      <w:rPr>
        <w:noProof/>
        <w:sz w:val="20"/>
        <w:szCs w:val="20"/>
      </w:rPr>
      <w:fldChar w:fldCharType="end"/>
    </w:r>
    <w:r>
      <w:rPr>
        <w:noProof/>
        <w:sz w:val="20"/>
        <w:szCs w:val="20"/>
      </w:rPr>
      <w:br/>
      <w:t>Appendix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0528" w14:textId="77777777" w:rsidR="006F0676" w:rsidRDefault="00747E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3AA1" w14:textId="21E9EFCB" w:rsidR="007D5859" w:rsidRPr="007B416D" w:rsidRDefault="007D5859" w:rsidP="007D5859">
    <w:pPr>
      <w:pStyle w:val="Footer"/>
      <w:tabs>
        <w:tab w:val="clear" w:pos="9360"/>
        <w:tab w:val="right" w:pos="14400"/>
      </w:tabs>
      <w:rPr>
        <w:sz w:val="20"/>
        <w:szCs w:val="20"/>
      </w:rPr>
    </w:pPr>
    <w:r w:rsidRPr="00B15B45">
      <w:rPr>
        <w:sz w:val="20"/>
        <w:szCs w:val="20"/>
      </w:rPr>
      <w:t xml:space="preserve">Shoreline Community College, Mid-Cycle </w:t>
    </w:r>
    <w:r w:rsidR="00477222">
      <w:rPr>
        <w:sz w:val="20"/>
        <w:szCs w:val="20"/>
      </w:rPr>
      <w:t>Self-Evaluation Report</w:t>
    </w:r>
    <w:r w:rsidRPr="00B15B45">
      <w:rPr>
        <w:sz w:val="20"/>
        <w:szCs w:val="20"/>
      </w:rPr>
      <w:tab/>
    </w:r>
    <w:r w:rsidRPr="00B15B45">
      <w:rPr>
        <w:sz w:val="20"/>
        <w:szCs w:val="20"/>
      </w:rPr>
      <w:fldChar w:fldCharType="begin"/>
    </w:r>
    <w:r w:rsidRPr="00B15B45">
      <w:rPr>
        <w:sz w:val="20"/>
        <w:szCs w:val="20"/>
      </w:rPr>
      <w:instrText xml:space="preserve"> PAGE   \* MERGEFORMAT </w:instrText>
    </w:r>
    <w:r w:rsidRPr="00B15B45">
      <w:rPr>
        <w:sz w:val="20"/>
        <w:szCs w:val="20"/>
      </w:rPr>
      <w:fldChar w:fldCharType="separate"/>
    </w:r>
    <w:r w:rsidR="00747EA8">
      <w:rPr>
        <w:noProof/>
        <w:sz w:val="20"/>
        <w:szCs w:val="20"/>
      </w:rPr>
      <w:t>8</w:t>
    </w:r>
    <w:r w:rsidRPr="00B15B45">
      <w:rPr>
        <w:noProof/>
        <w:sz w:val="20"/>
        <w:szCs w:val="20"/>
      </w:rPr>
      <w:fldChar w:fldCharType="end"/>
    </w:r>
    <w:r>
      <w:rPr>
        <w:noProof/>
        <w:sz w:val="20"/>
        <w:szCs w:val="20"/>
      </w:rPr>
      <w:br/>
      <w:t>Appendix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C6E5B" w14:textId="77777777" w:rsidR="002977DB" w:rsidRDefault="002977DB" w:rsidP="00DB07B9">
      <w:pPr>
        <w:spacing w:after="0" w:line="240" w:lineRule="auto"/>
      </w:pPr>
      <w:r>
        <w:separator/>
      </w:r>
    </w:p>
  </w:footnote>
  <w:footnote w:type="continuationSeparator" w:id="0">
    <w:p w14:paraId="0CFCAB02" w14:textId="77777777" w:rsidR="002977DB" w:rsidRDefault="002977DB" w:rsidP="00DB0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EBDF" w14:textId="77777777" w:rsidR="006F0676" w:rsidRDefault="00747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AC91" w14:textId="77777777" w:rsidR="006F0676" w:rsidRDefault="00747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4D23" w14:textId="77777777" w:rsidR="006F0676" w:rsidRDefault="00747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CA32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46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225F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2F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DA2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A6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1E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4B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24F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7EB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B65E5"/>
    <w:multiLevelType w:val="hybridMultilevel"/>
    <w:tmpl w:val="866A0FE2"/>
    <w:lvl w:ilvl="0" w:tplc="3F1474A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43D22"/>
    <w:multiLevelType w:val="hybridMultilevel"/>
    <w:tmpl w:val="04F0A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6552D9"/>
    <w:multiLevelType w:val="hybridMultilevel"/>
    <w:tmpl w:val="BA40D91A"/>
    <w:lvl w:ilvl="0" w:tplc="04090015">
      <w:start w:val="1"/>
      <w:numFmt w:val="upperLetter"/>
      <w:lvlText w:val="%1."/>
      <w:lvlJc w:val="left"/>
      <w:pPr>
        <w:ind w:left="720" w:hanging="360"/>
      </w:pPr>
    </w:lvl>
    <w:lvl w:ilvl="1" w:tplc="5B7AD41A">
      <w:start w:val="1"/>
      <w:numFmt w:val="decimal"/>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B01E2"/>
    <w:multiLevelType w:val="hybridMultilevel"/>
    <w:tmpl w:val="E2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240DB"/>
    <w:multiLevelType w:val="hybridMultilevel"/>
    <w:tmpl w:val="B002EC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97932"/>
    <w:multiLevelType w:val="hybridMultilevel"/>
    <w:tmpl w:val="9C18E710"/>
    <w:lvl w:ilvl="0" w:tplc="1F4AA104">
      <w:start w:val="1"/>
      <w:numFmt w:val="bullet"/>
      <w:pStyle w:val="Bullete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48FC"/>
    <w:multiLevelType w:val="hybridMultilevel"/>
    <w:tmpl w:val="450C7336"/>
    <w:lvl w:ilvl="0" w:tplc="45C64FE8">
      <w:start w:val="1"/>
      <w:numFmt w:val="upp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11C9"/>
    <w:multiLevelType w:val="multilevel"/>
    <w:tmpl w:val="D90E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03E5"/>
    <w:multiLevelType w:val="hybridMultilevel"/>
    <w:tmpl w:val="9008F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43696"/>
    <w:multiLevelType w:val="hybridMultilevel"/>
    <w:tmpl w:val="B41AD2A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F004A"/>
    <w:multiLevelType w:val="hybridMultilevel"/>
    <w:tmpl w:val="7F787BC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25BCD"/>
    <w:multiLevelType w:val="hybridMultilevel"/>
    <w:tmpl w:val="476A078A"/>
    <w:lvl w:ilvl="0" w:tplc="732CDBCC">
      <w:start w:val="1"/>
      <w:numFmt w:val="lowerRoman"/>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4E45BE"/>
    <w:multiLevelType w:val="hybridMultilevel"/>
    <w:tmpl w:val="A2E01750"/>
    <w:lvl w:ilvl="0" w:tplc="04090015">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53678"/>
    <w:multiLevelType w:val="hybridMultilevel"/>
    <w:tmpl w:val="05A6FC6E"/>
    <w:lvl w:ilvl="0" w:tplc="BE20504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E4258"/>
    <w:multiLevelType w:val="hybridMultilevel"/>
    <w:tmpl w:val="E1D068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900" w:hanging="180"/>
      </w:pPr>
    </w:lvl>
    <w:lvl w:ilvl="3" w:tplc="F4643DD6">
      <w:start w:val="1"/>
      <w:numFmt w:val="bullet"/>
      <w:lvlText w:val="-"/>
      <w:lvlJc w:val="left"/>
      <w:pPr>
        <w:ind w:left="2880" w:hanging="360"/>
      </w:pPr>
      <w:rPr>
        <w:rFonts w:ascii="Calibri" w:eastAsia="Times New Roman"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77E3E"/>
    <w:multiLevelType w:val="hybridMultilevel"/>
    <w:tmpl w:val="A0CA1538"/>
    <w:lvl w:ilvl="0" w:tplc="49022294">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E6D01"/>
    <w:multiLevelType w:val="hybridMultilevel"/>
    <w:tmpl w:val="630AF210"/>
    <w:lvl w:ilvl="0" w:tplc="4FB0A9FA">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96C7B8D"/>
    <w:multiLevelType w:val="hybridMultilevel"/>
    <w:tmpl w:val="7FFECEF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90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7"/>
  </w:num>
  <w:num w:numId="13">
    <w:abstractNumId w:val="14"/>
  </w:num>
  <w:num w:numId="14">
    <w:abstractNumId w:val="24"/>
  </w:num>
  <w:num w:numId="15">
    <w:abstractNumId w:val="21"/>
  </w:num>
  <w:num w:numId="16">
    <w:abstractNumId w:val="15"/>
  </w:num>
  <w:num w:numId="17">
    <w:abstractNumId w:val="16"/>
  </w:num>
  <w:num w:numId="18">
    <w:abstractNumId w:val="13"/>
  </w:num>
  <w:num w:numId="19">
    <w:abstractNumId w:val="18"/>
  </w:num>
  <w:num w:numId="20">
    <w:abstractNumId w:val="19"/>
  </w:num>
  <w:num w:numId="21">
    <w:abstractNumId w:val="26"/>
  </w:num>
  <w:num w:numId="22">
    <w:abstractNumId w:val="17"/>
  </w:num>
  <w:num w:numId="23">
    <w:abstractNumId w:val="23"/>
  </w:num>
  <w:num w:numId="24">
    <w:abstractNumId w:val="10"/>
  </w:num>
  <w:num w:numId="25">
    <w:abstractNumId w:val="25"/>
  </w:num>
  <w:num w:numId="26">
    <w:abstractNumId w:val="22"/>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1F"/>
    <w:rsid w:val="000017D4"/>
    <w:rsid w:val="000070E2"/>
    <w:rsid w:val="0001273F"/>
    <w:rsid w:val="00016911"/>
    <w:rsid w:val="000216B2"/>
    <w:rsid w:val="00021751"/>
    <w:rsid w:val="000223DA"/>
    <w:rsid w:val="000232BB"/>
    <w:rsid w:val="00023A39"/>
    <w:rsid w:val="000247AE"/>
    <w:rsid w:val="00045DFB"/>
    <w:rsid w:val="0004676A"/>
    <w:rsid w:val="00054157"/>
    <w:rsid w:val="00057515"/>
    <w:rsid w:val="00060433"/>
    <w:rsid w:val="0006552E"/>
    <w:rsid w:val="000673E4"/>
    <w:rsid w:val="00067E9F"/>
    <w:rsid w:val="00074929"/>
    <w:rsid w:val="000770AA"/>
    <w:rsid w:val="00085234"/>
    <w:rsid w:val="00091310"/>
    <w:rsid w:val="00091E5E"/>
    <w:rsid w:val="00092446"/>
    <w:rsid w:val="0009323E"/>
    <w:rsid w:val="000A0ADC"/>
    <w:rsid w:val="000A12B5"/>
    <w:rsid w:val="000A2318"/>
    <w:rsid w:val="000A6590"/>
    <w:rsid w:val="000B00B6"/>
    <w:rsid w:val="000B2EA1"/>
    <w:rsid w:val="000C3370"/>
    <w:rsid w:val="000C4791"/>
    <w:rsid w:val="000C7489"/>
    <w:rsid w:val="000C7ADD"/>
    <w:rsid w:val="000D142F"/>
    <w:rsid w:val="000D1896"/>
    <w:rsid w:val="000D2A41"/>
    <w:rsid w:val="000E080B"/>
    <w:rsid w:val="000E11E3"/>
    <w:rsid w:val="000E1EBA"/>
    <w:rsid w:val="000E3A68"/>
    <w:rsid w:val="000E3FE5"/>
    <w:rsid w:val="000F305B"/>
    <w:rsid w:val="000F3A7D"/>
    <w:rsid w:val="000F3BF1"/>
    <w:rsid w:val="000F4A36"/>
    <w:rsid w:val="000F4D2B"/>
    <w:rsid w:val="000F5871"/>
    <w:rsid w:val="000F5AEE"/>
    <w:rsid w:val="00104262"/>
    <w:rsid w:val="001048F1"/>
    <w:rsid w:val="00105B13"/>
    <w:rsid w:val="00106E8A"/>
    <w:rsid w:val="00111F17"/>
    <w:rsid w:val="001137FF"/>
    <w:rsid w:val="00117544"/>
    <w:rsid w:val="00117B38"/>
    <w:rsid w:val="00120B45"/>
    <w:rsid w:val="00122993"/>
    <w:rsid w:val="001260AC"/>
    <w:rsid w:val="001300F6"/>
    <w:rsid w:val="0013098B"/>
    <w:rsid w:val="00140339"/>
    <w:rsid w:val="00141C0C"/>
    <w:rsid w:val="00144B90"/>
    <w:rsid w:val="001469AB"/>
    <w:rsid w:val="00150007"/>
    <w:rsid w:val="00156999"/>
    <w:rsid w:val="00177252"/>
    <w:rsid w:val="00181F5B"/>
    <w:rsid w:val="0018389F"/>
    <w:rsid w:val="00184AE0"/>
    <w:rsid w:val="00185B20"/>
    <w:rsid w:val="00186AF1"/>
    <w:rsid w:val="00196680"/>
    <w:rsid w:val="00197583"/>
    <w:rsid w:val="001A2B77"/>
    <w:rsid w:val="001A4850"/>
    <w:rsid w:val="001A4DAD"/>
    <w:rsid w:val="001B2D62"/>
    <w:rsid w:val="001B4715"/>
    <w:rsid w:val="001B4893"/>
    <w:rsid w:val="001B672A"/>
    <w:rsid w:val="001B69BC"/>
    <w:rsid w:val="001C4DAC"/>
    <w:rsid w:val="001D1CB8"/>
    <w:rsid w:val="001F4947"/>
    <w:rsid w:val="0020319B"/>
    <w:rsid w:val="00204870"/>
    <w:rsid w:val="00204D93"/>
    <w:rsid w:val="00205BCE"/>
    <w:rsid w:val="00206804"/>
    <w:rsid w:val="00210766"/>
    <w:rsid w:val="0021180A"/>
    <w:rsid w:val="00215305"/>
    <w:rsid w:val="0021631F"/>
    <w:rsid w:val="00223117"/>
    <w:rsid w:val="002346F8"/>
    <w:rsid w:val="00241A09"/>
    <w:rsid w:val="002421C9"/>
    <w:rsid w:val="0024310D"/>
    <w:rsid w:val="00245A4C"/>
    <w:rsid w:val="00250BC3"/>
    <w:rsid w:val="002539D7"/>
    <w:rsid w:val="0025439D"/>
    <w:rsid w:val="00261441"/>
    <w:rsid w:val="00262F7A"/>
    <w:rsid w:val="00271FF7"/>
    <w:rsid w:val="0028078D"/>
    <w:rsid w:val="00280B47"/>
    <w:rsid w:val="00280BA2"/>
    <w:rsid w:val="0029758C"/>
    <w:rsid w:val="002977DB"/>
    <w:rsid w:val="002A5B58"/>
    <w:rsid w:val="002A626B"/>
    <w:rsid w:val="002A7E40"/>
    <w:rsid w:val="002B059A"/>
    <w:rsid w:val="002B1A32"/>
    <w:rsid w:val="002B39AF"/>
    <w:rsid w:val="002B4245"/>
    <w:rsid w:val="002B48F0"/>
    <w:rsid w:val="002B5604"/>
    <w:rsid w:val="002C4375"/>
    <w:rsid w:val="002D05E7"/>
    <w:rsid w:val="002D0637"/>
    <w:rsid w:val="002D3907"/>
    <w:rsid w:val="002D4C94"/>
    <w:rsid w:val="002D6336"/>
    <w:rsid w:val="002D6759"/>
    <w:rsid w:val="002E1960"/>
    <w:rsid w:val="002E1E22"/>
    <w:rsid w:val="002E789E"/>
    <w:rsid w:val="002F29E0"/>
    <w:rsid w:val="003001CE"/>
    <w:rsid w:val="00302646"/>
    <w:rsid w:val="00303302"/>
    <w:rsid w:val="00307141"/>
    <w:rsid w:val="003162FD"/>
    <w:rsid w:val="0031749D"/>
    <w:rsid w:val="0032062A"/>
    <w:rsid w:val="00320A03"/>
    <w:rsid w:val="00321D6A"/>
    <w:rsid w:val="00324BD1"/>
    <w:rsid w:val="003256E6"/>
    <w:rsid w:val="003319A1"/>
    <w:rsid w:val="0033443F"/>
    <w:rsid w:val="003375EE"/>
    <w:rsid w:val="00340656"/>
    <w:rsid w:val="00345616"/>
    <w:rsid w:val="00347A34"/>
    <w:rsid w:val="00347F83"/>
    <w:rsid w:val="00350185"/>
    <w:rsid w:val="0035198A"/>
    <w:rsid w:val="003523A6"/>
    <w:rsid w:val="0035775B"/>
    <w:rsid w:val="00367678"/>
    <w:rsid w:val="003678C4"/>
    <w:rsid w:val="00376BE0"/>
    <w:rsid w:val="003817A2"/>
    <w:rsid w:val="0038206E"/>
    <w:rsid w:val="003868FD"/>
    <w:rsid w:val="00386CF3"/>
    <w:rsid w:val="00391325"/>
    <w:rsid w:val="0039145B"/>
    <w:rsid w:val="00391634"/>
    <w:rsid w:val="00392099"/>
    <w:rsid w:val="003A0F3B"/>
    <w:rsid w:val="003A4B26"/>
    <w:rsid w:val="003B0B9C"/>
    <w:rsid w:val="003B73E7"/>
    <w:rsid w:val="003C011D"/>
    <w:rsid w:val="003C0600"/>
    <w:rsid w:val="003C266B"/>
    <w:rsid w:val="003C310B"/>
    <w:rsid w:val="003C4EF9"/>
    <w:rsid w:val="003C513A"/>
    <w:rsid w:val="003D0CD1"/>
    <w:rsid w:val="003D0D86"/>
    <w:rsid w:val="003D29D2"/>
    <w:rsid w:val="003D421E"/>
    <w:rsid w:val="003D651F"/>
    <w:rsid w:val="003D77E1"/>
    <w:rsid w:val="003E276B"/>
    <w:rsid w:val="003F0B47"/>
    <w:rsid w:val="003F3C87"/>
    <w:rsid w:val="003F40C1"/>
    <w:rsid w:val="004119BC"/>
    <w:rsid w:val="004214A2"/>
    <w:rsid w:val="00421502"/>
    <w:rsid w:val="00431C5B"/>
    <w:rsid w:val="00432F96"/>
    <w:rsid w:val="00435730"/>
    <w:rsid w:val="00441FEE"/>
    <w:rsid w:val="00451BB8"/>
    <w:rsid w:val="00455089"/>
    <w:rsid w:val="00461128"/>
    <w:rsid w:val="00470DC1"/>
    <w:rsid w:val="00476886"/>
    <w:rsid w:val="00477222"/>
    <w:rsid w:val="00477DB0"/>
    <w:rsid w:val="00481295"/>
    <w:rsid w:val="004829F3"/>
    <w:rsid w:val="00485F41"/>
    <w:rsid w:val="00487D0D"/>
    <w:rsid w:val="00487E07"/>
    <w:rsid w:val="00492A7E"/>
    <w:rsid w:val="00492ADF"/>
    <w:rsid w:val="00493EA9"/>
    <w:rsid w:val="0049483B"/>
    <w:rsid w:val="004C2AA4"/>
    <w:rsid w:val="004C58D3"/>
    <w:rsid w:val="004C5DB9"/>
    <w:rsid w:val="004C74FC"/>
    <w:rsid w:val="004D2A77"/>
    <w:rsid w:val="004D3F57"/>
    <w:rsid w:val="004D53CD"/>
    <w:rsid w:val="004E5DF7"/>
    <w:rsid w:val="004F482E"/>
    <w:rsid w:val="004F50D1"/>
    <w:rsid w:val="005008A0"/>
    <w:rsid w:val="00506CBF"/>
    <w:rsid w:val="00513C66"/>
    <w:rsid w:val="0051450D"/>
    <w:rsid w:val="0051553B"/>
    <w:rsid w:val="00522409"/>
    <w:rsid w:val="005265A3"/>
    <w:rsid w:val="005304A9"/>
    <w:rsid w:val="005323A1"/>
    <w:rsid w:val="0053388E"/>
    <w:rsid w:val="00533F79"/>
    <w:rsid w:val="00535264"/>
    <w:rsid w:val="00540A0D"/>
    <w:rsid w:val="0054108F"/>
    <w:rsid w:val="0055269E"/>
    <w:rsid w:val="00556B94"/>
    <w:rsid w:val="0056044E"/>
    <w:rsid w:val="00561057"/>
    <w:rsid w:val="00561D11"/>
    <w:rsid w:val="00562529"/>
    <w:rsid w:val="00564FC2"/>
    <w:rsid w:val="0056768E"/>
    <w:rsid w:val="0057046B"/>
    <w:rsid w:val="00570811"/>
    <w:rsid w:val="00571FBE"/>
    <w:rsid w:val="005744EA"/>
    <w:rsid w:val="00576345"/>
    <w:rsid w:val="005763F8"/>
    <w:rsid w:val="00580A31"/>
    <w:rsid w:val="00590FD6"/>
    <w:rsid w:val="00595463"/>
    <w:rsid w:val="00596F9A"/>
    <w:rsid w:val="005B043D"/>
    <w:rsid w:val="005B20C8"/>
    <w:rsid w:val="005B42D2"/>
    <w:rsid w:val="005B4A9D"/>
    <w:rsid w:val="005B690A"/>
    <w:rsid w:val="005C1048"/>
    <w:rsid w:val="005C6732"/>
    <w:rsid w:val="005C712D"/>
    <w:rsid w:val="005D02AC"/>
    <w:rsid w:val="005D089C"/>
    <w:rsid w:val="005D0C67"/>
    <w:rsid w:val="005D26E7"/>
    <w:rsid w:val="005D3E41"/>
    <w:rsid w:val="005D4018"/>
    <w:rsid w:val="005F12CB"/>
    <w:rsid w:val="005F15E9"/>
    <w:rsid w:val="005F3EFF"/>
    <w:rsid w:val="005F52C1"/>
    <w:rsid w:val="005F798A"/>
    <w:rsid w:val="00610DCB"/>
    <w:rsid w:val="00611877"/>
    <w:rsid w:val="00615770"/>
    <w:rsid w:val="00616D44"/>
    <w:rsid w:val="006208DA"/>
    <w:rsid w:val="00624D3C"/>
    <w:rsid w:val="0062672E"/>
    <w:rsid w:val="00626DEA"/>
    <w:rsid w:val="006330C4"/>
    <w:rsid w:val="006334CF"/>
    <w:rsid w:val="006356B4"/>
    <w:rsid w:val="00635909"/>
    <w:rsid w:val="0064131F"/>
    <w:rsid w:val="00642AC3"/>
    <w:rsid w:val="00643E55"/>
    <w:rsid w:val="00645F03"/>
    <w:rsid w:val="00646AC1"/>
    <w:rsid w:val="00651857"/>
    <w:rsid w:val="006579EC"/>
    <w:rsid w:val="00660ED1"/>
    <w:rsid w:val="0066524E"/>
    <w:rsid w:val="006758D2"/>
    <w:rsid w:val="00675D41"/>
    <w:rsid w:val="006938F6"/>
    <w:rsid w:val="006A1CD0"/>
    <w:rsid w:val="006A3E6F"/>
    <w:rsid w:val="006A52B7"/>
    <w:rsid w:val="006A72F5"/>
    <w:rsid w:val="006A75D1"/>
    <w:rsid w:val="006B007D"/>
    <w:rsid w:val="006B026D"/>
    <w:rsid w:val="006B2AAF"/>
    <w:rsid w:val="006B38EA"/>
    <w:rsid w:val="006B439D"/>
    <w:rsid w:val="006C65D3"/>
    <w:rsid w:val="006D4236"/>
    <w:rsid w:val="006D627F"/>
    <w:rsid w:val="006F0475"/>
    <w:rsid w:val="006F10E1"/>
    <w:rsid w:val="006F219E"/>
    <w:rsid w:val="006F3D3B"/>
    <w:rsid w:val="007028BB"/>
    <w:rsid w:val="00703093"/>
    <w:rsid w:val="00703B60"/>
    <w:rsid w:val="0071310F"/>
    <w:rsid w:val="00720E10"/>
    <w:rsid w:val="007231CD"/>
    <w:rsid w:val="00724B4F"/>
    <w:rsid w:val="00725877"/>
    <w:rsid w:val="00726C21"/>
    <w:rsid w:val="00733C20"/>
    <w:rsid w:val="00736C2C"/>
    <w:rsid w:val="00746ED4"/>
    <w:rsid w:val="00747A74"/>
    <w:rsid w:val="00747EA8"/>
    <w:rsid w:val="00754D58"/>
    <w:rsid w:val="0075615D"/>
    <w:rsid w:val="0076138D"/>
    <w:rsid w:val="0076217D"/>
    <w:rsid w:val="00766E77"/>
    <w:rsid w:val="00771C1E"/>
    <w:rsid w:val="00774E85"/>
    <w:rsid w:val="00782E0D"/>
    <w:rsid w:val="0079194B"/>
    <w:rsid w:val="00794112"/>
    <w:rsid w:val="0079596F"/>
    <w:rsid w:val="007A172F"/>
    <w:rsid w:val="007A55C3"/>
    <w:rsid w:val="007B416D"/>
    <w:rsid w:val="007B4307"/>
    <w:rsid w:val="007B7EA8"/>
    <w:rsid w:val="007C7769"/>
    <w:rsid w:val="007D5859"/>
    <w:rsid w:val="007D74FF"/>
    <w:rsid w:val="007E198A"/>
    <w:rsid w:val="007E1DC1"/>
    <w:rsid w:val="007E5600"/>
    <w:rsid w:val="007F340A"/>
    <w:rsid w:val="007F6E99"/>
    <w:rsid w:val="007F708E"/>
    <w:rsid w:val="007F7E7B"/>
    <w:rsid w:val="00804478"/>
    <w:rsid w:val="008052A3"/>
    <w:rsid w:val="00811FFB"/>
    <w:rsid w:val="00813AEA"/>
    <w:rsid w:val="00817FBD"/>
    <w:rsid w:val="0082498A"/>
    <w:rsid w:val="008272A1"/>
    <w:rsid w:val="0083793D"/>
    <w:rsid w:val="008402CF"/>
    <w:rsid w:val="00841253"/>
    <w:rsid w:val="0084649D"/>
    <w:rsid w:val="00860E17"/>
    <w:rsid w:val="00864CCE"/>
    <w:rsid w:val="00870D5C"/>
    <w:rsid w:val="008854A8"/>
    <w:rsid w:val="00890172"/>
    <w:rsid w:val="00890A4F"/>
    <w:rsid w:val="00893470"/>
    <w:rsid w:val="00896E93"/>
    <w:rsid w:val="008A5AFC"/>
    <w:rsid w:val="008A7886"/>
    <w:rsid w:val="008B1E9C"/>
    <w:rsid w:val="008B2F17"/>
    <w:rsid w:val="008C0134"/>
    <w:rsid w:val="008C1803"/>
    <w:rsid w:val="008C2EC9"/>
    <w:rsid w:val="008C6748"/>
    <w:rsid w:val="008C7B4E"/>
    <w:rsid w:val="008D516A"/>
    <w:rsid w:val="008D5AD0"/>
    <w:rsid w:val="008E3E73"/>
    <w:rsid w:val="008E4897"/>
    <w:rsid w:val="008E4B7D"/>
    <w:rsid w:val="008E502B"/>
    <w:rsid w:val="008E6E1F"/>
    <w:rsid w:val="008F2B85"/>
    <w:rsid w:val="008F7950"/>
    <w:rsid w:val="009020AA"/>
    <w:rsid w:val="009039D3"/>
    <w:rsid w:val="0090668A"/>
    <w:rsid w:val="00911A97"/>
    <w:rsid w:val="00920689"/>
    <w:rsid w:val="00930BD0"/>
    <w:rsid w:val="0093703C"/>
    <w:rsid w:val="009403F9"/>
    <w:rsid w:val="0094140C"/>
    <w:rsid w:val="0094600C"/>
    <w:rsid w:val="00946911"/>
    <w:rsid w:val="00946C66"/>
    <w:rsid w:val="009547D2"/>
    <w:rsid w:val="00954D93"/>
    <w:rsid w:val="00957B33"/>
    <w:rsid w:val="00957CF6"/>
    <w:rsid w:val="009604F5"/>
    <w:rsid w:val="009607CD"/>
    <w:rsid w:val="00961988"/>
    <w:rsid w:val="00965235"/>
    <w:rsid w:val="009652CE"/>
    <w:rsid w:val="00966222"/>
    <w:rsid w:val="00967348"/>
    <w:rsid w:val="00972005"/>
    <w:rsid w:val="00974A94"/>
    <w:rsid w:val="0098058A"/>
    <w:rsid w:val="00984BE5"/>
    <w:rsid w:val="009872EE"/>
    <w:rsid w:val="009979FC"/>
    <w:rsid w:val="00997A4F"/>
    <w:rsid w:val="00997C8C"/>
    <w:rsid w:val="009A206C"/>
    <w:rsid w:val="009B1A7A"/>
    <w:rsid w:val="009B1DDC"/>
    <w:rsid w:val="009B622E"/>
    <w:rsid w:val="009C61D9"/>
    <w:rsid w:val="009D3EC5"/>
    <w:rsid w:val="009E0CA3"/>
    <w:rsid w:val="009E1149"/>
    <w:rsid w:val="009E4793"/>
    <w:rsid w:val="009E4F18"/>
    <w:rsid w:val="009E5D9F"/>
    <w:rsid w:val="009E6B37"/>
    <w:rsid w:val="009E798A"/>
    <w:rsid w:val="009F0D07"/>
    <w:rsid w:val="009F2184"/>
    <w:rsid w:val="009F4CBC"/>
    <w:rsid w:val="009F5D72"/>
    <w:rsid w:val="00A00061"/>
    <w:rsid w:val="00A01225"/>
    <w:rsid w:val="00A03236"/>
    <w:rsid w:val="00A20F03"/>
    <w:rsid w:val="00A25A00"/>
    <w:rsid w:val="00A3200A"/>
    <w:rsid w:val="00A32042"/>
    <w:rsid w:val="00A325B5"/>
    <w:rsid w:val="00A32ED7"/>
    <w:rsid w:val="00A35036"/>
    <w:rsid w:val="00A369FA"/>
    <w:rsid w:val="00A44C42"/>
    <w:rsid w:val="00A45DB4"/>
    <w:rsid w:val="00A46B5F"/>
    <w:rsid w:val="00A4784F"/>
    <w:rsid w:val="00A47CAE"/>
    <w:rsid w:val="00A56248"/>
    <w:rsid w:val="00A61C18"/>
    <w:rsid w:val="00A714EC"/>
    <w:rsid w:val="00A77646"/>
    <w:rsid w:val="00A82B68"/>
    <w:rsid w:val="00A84E24"/>
    <w:rsid w:val="00A86317"/>
    <w:rsid w:val="00A86D90"/>
    <w:rsid w:val="00A933B7"/>
    <w:rsid w:val="00A94814"/>
    <w:rsid w:val="00A965E1"/>
    <w:rsid w:val="00A97D47"/>
    <w:rsid w:val="00AA1E20"/>
    <w:rsid w:val="00AA4278"/>
    <w:rsid w:val="00AB7E6E"/>
    <w:rsid w:val="00AC2985"/>
    <w:rsid w:val="00AC4615"/>
    <w:rsid w:val="00AD00E0"/>
    <w:rsid w:val="00AD271F"/>
    <w:rsid w:val="00AD284E"/>
    <w:rsid w:val="00AD2ACA"/>
    <w:rsid w:val="00AD6AD0"/>
    <w:rsid w:val="00AE49CB"/>
    <w:rsid w:val="00AE7726"/>
    <w:rsid w:val="00AE7990"/>
    <w:rsid w:val="00B00966"/>
    <w:rsid w:val="00B05C21"/>
    <w:rsid w:val="00B07060"/>
    <w:rsid w:val="00B15B45"/>
    <w:rsid w:val="00B16814"/>
    <w:rsid w:val="00B178BD"/>
    <w:rsid w:val="00B266E9"/>
    <w:rsid w:val="00B27426"/>
    <w:rsid w:val="00B364B9"/>
    <w:rsid w:val="00B4124D"/>
    <w:rsid w:val="00B42967"/>
    <w:rsid w:val="00B435B9"/>
    <w:rsid w:val="00B46ABF"/>
    <w:rsid w:val="00B52F71"/>
    <w:rsid w:val="00B53454"/>
    <w:rsid w:val="00B57145"/>
    <w:rsid w:val="00B575BA"/>
    <w:rsid w:val="00B6291B"/>
    <w:rsid w:val="00B703F3"/>
    <w:rsid w:val="00B70E9D"/>
    <w:rsid w:val="00B731A8"/>
    <w:rsid w:val="00B74209"/>
    <w:rsid w:val="00B81283"/>
    <w:rsid w:val="00B85757"/>
    <w:rsid w:val="00B85ABA"/>
    <w:rsid w:val="00B934A4"/>
    <w:rsid w:val="00B9538B"/>
    <w:rsid w:val="00BA096F"/>
    <w:rsid w:val="00BA66CE"/>
    <w:rsid w:val="00BB15E2"/>
    <w:rsid w:val="00BB3255"/>
    <w:rsid w:val="00BC31D6"/>
    <w:rsid w:val="00BC3DD1"/>
    <w:rsid w:val="00BD1420"/>
    <w:rsid w:val="00BD3185"/>
    <w:rsid w:val="00BD58B5"/>
    <w:rsid w:val="00BE0FBC"/>
    <w:rsid w:val="00BE391C"/>
    <w:rsid w:val="00BE4439"/>
    <w:rsid w:val="00BE4C66"/>
    <w:rsid w:val="00BF2D66"/>
    <w:rsid w:val="00BF37A6"/>
    <w:rsid w:val="00BF6846"/>
    <w:rsid w:val="00BF6B04"/>
    <w:rsid w:val="00BF7FDB"/>
    <w:rsid w:val="00C01A18"/>
    <w:rsid w:val="00C01D86"/>
    <w:rsid w:val="00C02CEE"/>
    <w:rsid w:val="00C108B5"/>
    <w:rsid w:val="00C1207B"/>
    <w:rsid w:val="00C20C98"/>
    <w:rsid w:val="00C2238E"/>
    <w:rsid w:val="00C24D61"/>
    <w:rsid w:val="00C266C8"/>
    <w:rsid w:val="00C338B6"/>
    <w:rsid w:val="00C34F27"/>
    <w:rsid w:val="00C35089"/>
    <w:rsid w:val="00C441B1"/>
    <w:rsid w:val="00C4746D"/>
    <w:rsid w:val="00C47F6E"/>
    <w:rsid w:val="00C50644"/>
    <w:rsid w:val="00C569E7"/>
    <w:rsid w:val="00C56E1A"/>
    <w:rsid w:val="00C61893"/>
    <w:rsid w:val="00C62907"/>
    <w:rsid w:val="00C63465"/>
    <w:rsid w:val="00C656F4"/>
    <w:rsid w:val="00C75108"/>
    <w:rsid w:val="00C7519E"/>
    <w:rsid w:val="00C76D40"/>
    <w:rsid w:val="00C7731C"/>
    <w:rsid w:val="00C86678"/>
    <w:rsid w:val="00C922EC"/>
    <w:rsid w:val="00CA106D"/>
    <w:rsid w:val="00CA3472"/>
    <w:rsid w:val="00CA6877"/>
    <w:rsid w:val="00CB7651"/>
    <w:rsid w:val="00CC4A07"/>
    <w:rsid w:val="00CC6036"/>
    <w:rsid w:val="00CD0545"/>
    <w:rsid w:val="00CD05A9"/>
    <w:rsid w:val="00CD31AA"/>
    <w:rsid w:val="00CD40A2"/>
    <w:rsid w:val="00CD55F6"/>
    <w:rsid w:val="00CE36AA"/>
    <w:rsid w:val="00CF33DF"/>
    <w:rsid w:val="00CF501C"/>
    <w:rsid w:val="00D31E60"/>
    <w:rsid w:val="00D32820"/>
    <w:rsid w:val="00D35909"/>
    <w:rsid w:val="00D3599A"/>
    <w:rsid w:val="00D40656"/>
    <w:rsid w:val="00D40A2A"/>
    <w:rsid w:val="00D466E5"/>
    <w:rsid w:val="00D52240"/>
    <w:rsid w:val="00D556DB"/>
    <w:rsid w:val="00D56A5F"/>
    <w:rsid w:val="00D63434"/>
    <w:rsid w:val="00D65FE2"/>
    <w:rsid w:val="00D80355"/>
    <w:rsid w:val="00D85D2F"/>
    <w:rsid w:val="00D87325"/>
    <w:rsid w:val="00D934A9"/>
    <w:rsid w:val="00DA1C48"/>
    <w:rsid w:val="00DA1DC0"/>
    <w:rsid w:val="00DA37DA"/>
    <w:rsid w:val="00DA7428"/>
    <w:rsid w:val="00DB07B9"/>
    <w:rsid w:val="00DC7940"/>
    <w:rsid w:val="00DC7DAC"/>
    <w:rsid w:val="00DD1251"/>
    <w:rsid w:val="00DD17C7"/>
    <w:rsid w:val="00DD4FB3"/>
    <w:rsid w:val="00DD5BF7"/>
    <w:rsid w:val="00DD7C95"/>
    <w:rsid w:val="00DE3D53"/>
    <w:rsid w:val="00DE6151"/>
    <w:rsid w:val="00DF2D00"/>
    <w:rsid w:val="00DF74F3"/>
    <w:rsid w:val="00E01A16"/>
    <w:rsid w:val="00E10ABE"/>
    <w:rsid w:val="00E11BED"/>
    <w:rsid w:val="00E3485B"/>
    <w:rsid w:val="00E34FDB"/>
    <w:rsid w:val="00E41756"/>
    <w:rsid w:val="00E41D41"/>
    <w:rsid w:val="00E4232E"/>
    <w:rsid w:val="00E43205"/>
    <w:rsid w:val="00E445F2"/>
    <w:rsid w:val="00E445FC"/>
    <w:rsid w:val="00E44C97"/>
    <w:rsid w:val="00E471A8"/>
    <w:rsid w:val="00E53C23"/>
    <w:rsid w:val="00E5408A"/>
    <w:rsid w:val="00E62086"/>
    <w:rsid w:val="00E62BA7"/>
    <w:rsid w:val="00E73A4F"/>
    <w:rsid w:val="00E77887"/>
    <w:rsid w:val="00E811D6"/>
    <w:rsid w:val="00E83560"/>
    <w:rsid w:val="00E85D04"/>
    <w:rsid w:val="00E905C7"/>
    <w:rsid w:val="00E91155"/>
    <w:rsid w:val="00E9157E"/>
    <w:rsid w:val="00E920F0"/>
    <w:rsid w:val="00E94F8D"/>
    <w:rsid w:val="00E96434"/>
    <w:rsid w:val="00EA4EAC"/>
    <w:rsid w:val="00EA57C6"/>
    <w:rsid w:val="00EA58FD"/>
    <w:rsid w:val="00EB3B5A"/>
    <w:rsid w:val="00EB4111"/>
    <w:rsid w:val="00EB5A44"/>
    <w:rsid w:val="00EB61EC"/>
    <w:rsid w:val="00EB70B5"/>
    <w:rsid w:val="00EB73BA"/>
    <w:rsid w:val="00EC0B93"/>
    <w:rsid w:val="00EC386F"/>
    <w:rsid w:val="00ED3ABD"/>
    <w:rsid w:val="00ED70E7"/>
    <w:rsid w:val="00EE2BDA"/>
    <w:rsid w:val="00EE439E"/>
    <w:rsid w:val="00EE5198"/>
    <w:rsid w:val="00EF239E"/>
    <w:rsid w:val="00EF58BF"/>
    <w:rsid w:val="00F00F6D"/>
    <w:rsid w:val="00F02D16"/>
    <w:rsid w:val="00F038DF"/>
    <w:rsid w:val="00F03E39"/>
    <w:rsid w:val="00F13616"/>
    <w:rsid w:val="00F13FD5"/>
    <w:rsid w:val="00F14540"/>
    <w:rsid w:val="00F15556"/>
    <w:rsid w:val="00F17C62"/>
    <w:rsid w:val="00F2324C"/>
    <w:rsid w:val="00F2459E"/>
    <w:rsid w:val="00F24BE1"/>
    <w:rsid w:val="00F36BCE"/>
    <w:rsid w:val="00F37869"/>
    <w:rsid w:val="00F415C3"/>
    <w:rsid w:val="00F4541C"/>
    <w:rsid w:val="00F47061"/>
    <w:rsid w:val="00F53FDF"/>
    <w:rsid w:val="00F65F96"/>
    <w:rsid w:val="00F70A74"/>
    <w:rsid w:val="00F74951"/>
    <w:rsid w:val="00F74CD7"/>
    <w:rsid w:val="00F74E42"/>
    <w:rsid w:val="00F74F04"/>
    <w:rsid w:val="00F75C6E"/>
    <w:rsid w:val="00F76774"/>
    <w:rsid w:val="00F837E6"/>
    <w:rsid w:val="00F85BA3"/>
    <w:rsid w:val="00FB22A5"/>
    <w:rsid w:val="00FC02B4"/>
    <w:rsid w:val="00FD2238"/>
    <w:rsid w:val="00FD6B18"/>
    <w:rsid w:val="00FD6C69"/>
    <w:rsid w:val="00FD7EFB"/>
    <w:rsid w:val="00FE0623"/>
    <w:rsid w:val="00FE3B58"/>
    <w:rsid w:val="00FE71ED"/>
    <w:rsid w:val="00FF25A9"/>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1F3E9"/>
  <w15:chartTrackingRefBased/>
  <w15:docId w15:val="{E681FD76-C102-46F4-9845-8035B08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8F"/>
  </w:style>
  <w:style w:type="paragraph" w:styleId="Heading1">
    <w:name w:val="heading 1"/>
    <w:basedOn w:val="Normal"/>
    <w:next w:val="Normal"/>
    <w:link w:val="Heading1Char"/>
    <w:uiPriority w:val="9"/>
    <w:qFormat/>
    <w:rsid w:val="007C7769"/>
    <w:pPr>
      <w:keepNext/>
      <w:keepLines/>
      <w:spacing w:before="240" w:after="120" w:line="240" w:lineRule="auto"/>
      <w:jc w:val="center"/>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9C61D9"/>
    <w:pPr>
      <w:keepNext/>
      <w:keepLines/>
      <w:spacing w:before="240" w:after="24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C61D9"/>
    <w:pPr>
      <w:keepNext/>
      <w:keepLines/>
      <w:spacing w:before="240" w:after="120" w:line="240"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54108F"/>
    <w:pPr>
      <w:keepNext/>
      <w:keepLines/>
      <w:spacing w:before="240" w:after="120" w:line="240" w:lineRule="auto"/>
      <w:outlineLvl w:val="3"/>
    </w:pPr>
    <w:rPr>
      <w:rFonts w:asciiTheme="majorHAnsi" w:eastAsiaTheme="majorEastAsia" w:hAnsiTheme="majorHAnsi" w:cstheme="majorBidi"/>
      <w:iCs/>
      <w:u w:val="single"/>
    </w:rPr>
  </w:style>
  <w:style w:type="paragraph" w:styleId="Heading5">
    <w:name w:val="heading 5"/>
    <w:basedOn w:val="Normal"/>
    <w:next w:val="Normal"/>
    <w:link w:val="Heading5Char"/>
    <w:uiPriority w:val="9"/>
    <w:unhideWhenUsed/>
    <w:qFormat/>
    <w:rsid w:val="00B6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769"/>
    <w:rPr>
      <w:rFonts w:eastAsiaTheme="majorEastAsia" w:cstheme="majorBidi"/>
      <w:b/>
      <w:caps/>
      <w:sz w:val="24"/>
      <w:szCs w:val="32"/>
    </w:rPr>
  </w:style>
  <w:style w:type="character" w:customStyle="1" w:styleId="Heading2Char">
    <w:name w:val="Heading 2 Char"/>
    <w:basedOn w:val="DefaultParagraphFont"/>
    <w:link w:val="Heading2"/>
    <w:uiPriority w:val="9"/>
    <w:rsid w:val="009C61D9"/>
    <w:rPr>
      <w:rFonts w:eastAsiaTheme="majorEastAsia" w:cstheme="majorBidi"/>
      <w:b/>
      <w:sz w:val="24"/>
      <w:szCs w:val="26"/>
    </w:rPr>
  </w:style>
  <w:style w:type="character" w:customStyle="1" w:styleId="Heading3Char">
    <w:name w:val="Heading 3 Char"/>
    <w:basedOn w:val="DefaultParagraphFont"/>
    <w:link w:val="Heading3"/>
    <w:uiPriority w:val="9"/>
    <w:rsid w:val="009C61D9"/>
    <w:rPr>
      <w:rFonts w:eastAsiaTheme="majorEastAsia" w:cstheme="majorBidi"/>
      <w:b/>
      <w:i/>
      <w:szCs w:val="24"/>
    </w:rPr>
  </w:style>
  <w:style w:type="character" w:customStyle="1" w:styleId="Heading4Char">
    <w:name w:val="Heading 4 Char"/>
    <w:basedOn w:val="DefaultParagraphFont"/>
    <w:link w:val="Heading4"/>
    <w:uiPriority w:val="9"/>
    <w:rsid w:val="0054108F"/>
    <w:rPr>
      <w:rFonts w:asciiTheme="majorHAnsi" w:eastAsiaTheme="majorEastAsia" w:hAnsiTheme="majorHAnsi" w:cstheme="majorBidi"/>
      <w:iCs/>
      <w:u w:val="single"/>
    </w:rPr>
  </w:style>
  <w:style w:type="paragraph" w:styleId="BodyText">
    <w:name w:val="Body Text"/>
    <w:basedOn w:val="Normal"/>
    <w:link w:val="BodyTextChar"/>
    <w:uiPriority w:val="99"/>
    <w:unhideWhenUsed/>
    <w:rsid w:val="0054108F"/>
    <w:pPr>
      <w:spacing w:before="120" w:after="120" w:line="260" w:lineRule="atLeast"/>
    </w:pPr>
  </w:style>
  <w:style w:type="character" w:customStyle="1" w:styleId="BodyTextChar">
    <w:name w:val="Body Text Char"/>
    <w:basedOn w:val="DefaultParagraphFont"/>
    <w:link w:val="BodyText"/>
    <w:uiPriority w:val="99"/>
    <w:rsid w:val="0054108F"/>
  </w:style>
  <w:style w:type="paragraph" w:styleId="ListParagraph">
    <w:name w:val="List Paragraph"/>
    <w:basedOn w:val="Normal"/>
    <w:uiPriority w:val="34"/>
    <w:qFormat/>
    <w:rsid w:val="0054108F"/>
    <w:pPr>
      <w:ind w:left="720"/>
      <w:contextualSpacing/>
    </w:pPr>
  </w:style>
  <w:style w:type="paragraph" w:styleId="NoSpacing">
    <w:name w:val="No Spacing"/>
    <w:uiPriority w:val="1"/>
    <w:qFormat/>
    <w:rsid w:val="0054108F"/>
    <w:pPr>
      <w:spacing w:after="0" w:line="240" w:lineRule="auto"/>
    </w:pPr>
  </w:style>
  <w:style w:type="character" w:styleId="Hyperlink">
    <w:name w:val="Hyperlink"/>
    <w:basedOn w:val="DefaultParagraphFont"/>
    <w:uiPriority w:val="99"/>
    <w:unhideWhenUsed/>
    <w:rsid w:val="008E4897"/>
    <w:rPr>
      <w:color w:val="0000FF"/>
      <w:u w:val="single"/>
    </w:rPr>
  </w:style>
  <w:style w:type="character" w:styleId="FollowedHyperlink">
    <w:name w:val="FollowedHyperlink"/>
    <w:basedOn w:val="DefaultParagraphFont"/>
    <w:uiPriority w:val="99"/>
    <w:semiHidden/>
    <w:unhideWhenUsed/>
    <w:rsid w:val="00890172"/>
    <w:rPr>
      <w:color w:val="954F72" w:themeColor="followedHyperlink"/>
      <w:u w:val="single"/>
    </w:rPr>
  </w:style>
  <w:style w:type="paragraph" w:customStyle="1" w:styleId="Bulleted1">
    <w:name w:val="Bulleted 1"/>
    <w:basedOn w:val="BodyText"/>
    <w:qFormat/>
    <w:rsid w:val="00ED70E7"/>
    <w:pPr>
      <w:numPr>
        <w:numId w:val="16"/>
      </w:numPr>
      <w:spacing w:before="60" w:after="60"/>
    </w:pPr>
  </w:style>
  <w:style w:type="table" w:styleId="TableGrid">
    <w:name w:val="Table Grid"/>
    <w:basedOn w:val="TableNormal"/>
    <w:uiPriority w:val="39"/>
    <w:rsid w:val="0018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22EC"/>
    <w:rPr>
      <w:sz w:val="16"/>
      <w:szCs w:val="16"/>
    </w:rPr>
  </w:style>
  <w:style w:type="paragraph" w:styleId="CommentText">
    <w:name w:val="annotation text"/>
    <w:basedOn w:val="Normal"/>
    <w:link w:val="CommentTextChar"/>
    <w:uiPriority w:val="99"/>
    <w:semiHidden/>
    <w:unhideWhenUsed/>
    <w:rsid w:val="00C922EC"/>
    <w:pPr>
      <w:spacing w:line="240" w:lineRule="auto"/>
    </w:pPr>
    <w:rPr>
      <w:sz w:val="20"/>
      <w:szCs w:val="20"/>
    </w:rPr>
  </w:style>
  <w:style w:type="character" w:customStyle="1" w:styleId="CommentTextChar">
    <w:name w:val="Comment Text Char"/>
    <w:basedOn w:val="DefaultParagraphFont"/>
    <w:link w:val="CommentText"/>
    <w:uiPriority w:val="99"/>
    <w:semiHidden/>
    <w:rsid w:val="00C922EC"/>
    <w:rPr>
      <w:sz w:val="20"/>
      <w:szCs w:val="20"/>
    </w:rPr>
  </w:style>
  <w:style w:type="paragraph" w:styleId="CommentSubject">
    <w:name w:val="annotation subject"/>
    <w:basedOn w:val="CommentText"/>
    <w:next w:val="CommentText"/>
    <w:link w:val="CommentSubjectChar"/>
    <w:uiPriority w:val="99"/>
    <w:semiHidden/>
    <w:unhideWhenUsed/>
    <w:rsid w:val="00C922EC"/>
    <w:rPr>
      <w:b/>
      <w:bCs/>
    </w:rPr>
  </w:style>
  <w:style w:type="character" w:customStyle="1" w:styleId="CommentSubjectChar">
    <w:name w:val="Comment Subject Char"/>
    <w:basedOn w:val="CommentTextChar"/>
    <w:link w:val="CommentSubject"/>
    <w:uiPriority w:val="99"/>
    <w:semiHidden/>
    <w:rsid w:val="00C922EC"/>
    <w:rPr>
      <w:b/>
      <w:bCs/>
      <w:sz w:val="20"/>
      <w:szCs w:val="20"/>
    </w:rPr>
  </w:style>
  <w:style w:type="paragraph" w:styleId="BalloonText">
    <w:name w:val="Balloon Text"/>
    <w:basedOn w:val="Normal"/>
    <w:link w:val="BalloonTextChar"/>
    <w:uiPriority w:val="99"/>
    <w:semiHidden/>
    <w:unhideWhenUsed/>
    <w:rsid w:val="00C9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EC"/>
    <w:rPr>
      <w:rFonts w:ascii="Segoe UI" w:hAnsi="Segoe UI" w:cs="Segoe UI"/>
      <w:sz w:val="18"/>
      <w:szCs w:val="18"/>
    </w:rPr>
  </w:style>
  <w:style w:type="character" w:customStyle="1" w:styleId="Heading5Char">
    <w:name w:val="Heading 5 Char"/>
    <w:basedOn w:val="DefaultParagraphFont"/>
    <w:link w:val="Heading5"/>
    <w:uiPriority w:val="9"/>
    <w:rsid w:val="00B6291B"/>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semiHidden/>
    <w:rsid w:val="005C1048"/>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semiHidden/>
    <w:rsid w:val="005C1048"/>
    <w:rPr>
      <w:rFonts w:eastAsia="Times New Roman" w:cs="Times New Roman"/>
      <w:sz w:val="18"/>
      <w:szCs w:val="20"/>
    </w:rPr>
  </w:style>
  <w:style w:type="character" w:styleId="FootnoteReference">
    <w:name w:val="footnote reference"/>
    <w:basedOn w:val="DefaultParagraphFont"/>
    <w:uiPriority w:val="99"/>
    <w:semiHidden/>
    <w:unhideWhenUsed/>
    <w:rsid w:val="00DB07B9"/>
    <w:rPr>
      <w:vertAlign w:val="superscript"/>
    </w:rPr>
  </w:style>
  <w:style w:type="paragraph" w:customStyle="1" w:styleId="FigureTitle">
    <w:name w:val="Figure Title"/>
    <w:basedOn w:val="BodyText"/>
    <w:qFormat/>
    <w:rsid w:val="009E6B37"/>
    <w:pPr>
      <w:spacing w:before="60" w:after="240" w:line="240" w:lineRule="auto"/>
      <w:jc w:val="center"/>
    </w:pPr>
    <w:rPr>
      <w:b/>
      <w:sz w:val="20"/>
    </w:rPr>
  </w:style>
  <w:style w:type="paragraph" w:styleId="Revision">
    <w:name w:val="Revision"/>
    <w:hidden/>
    <w:uiPriority w:val="99"/>
    <w:semiHidden/>
    <w:rsid w:val="00A45DB4"/>
    <w:pPr>
      <w:spacing w:after="0" w:line="240" w:lineRule="auto"/>
    </w:pPr>
  </w:style>
  <w:style w:type="table" w:styleId="PlainTable5">
    <w:name w:val="Plain Table 5"/>
    <w:basedOn w:val="TableNormal"/>
    <w:uiPriority w:val="45"/>
    <w:rsid w:val="002B5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B5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F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2E"/>
  </w:style>
  <w:style w:type="paragraph" w:styleId="Footer">
    <w:name w:val="footer"/>
    <w:basedOn w:val="Normal"/>
    <w:link w:val="FooterChar"/>
    <w:uiPriority w:val="99"/>
    <w:unhideWhenUsed/>
    <w:rsid w:val="004F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2E"/>
  </w:style>
  <w:style w:type="paragraph" w:styleId="TOCHeading">
    <w:name w:val="TOC Heading"/>
    <w:basedOn w:val="Heading1"/>
    <w:next w:val="Normal"/>
    <w:uiPriority w:val="39"/>
    <w:unhideWhenUsed/>
    <w:qFormat/>
    <w:rsid w:val="00A77646"/>
    <w:pPr>
      <w:spacing w:line="259" w:lineRule="auto"/>
      <w:outlineLvl w:val="9"/>
    </w:pPr>
    <w:rPr>
      <w:caps w:val="0"/>
    </w:rPr>
  </w:style>
  <w:style w:type="paragraph" w:styleId="TOC1">
    <w:name w:val="toc 1"/>
    <w:basedOn w:val="Normal"/>
    <w:next w:val="Normal"/>
    <w:autoRedefine/>
    <w:uiPriority w:val="39"/>
    <w:unhideWhenUsed/>
    <w:rsid w:val="00A77646"/>
    <w:pPr>
      <w:spacing w:after="100"/>
    </w:pPr>
  </w:style>
  <w:style w:type="paragraph" w:styleId="TOC2">
    <w:name w:val="toc 2"/>
    <w:basedOn w:val="Normal"/>
    <w:next w:val="Normal"/>
    <w:autoRedefine/>
    <w:uiPriority w:val="39"/>
    <w:unhideWhenUsed/>
    <w:rsid w:val="00A77646"/>
    <w:pPr>
      <w:spacing w:after="100"/>
      <w:ind w:left="220"/>
    </w:pPr>
  </w:style>
  <w:style w:type="paragraph" w:styleId="TOC3">
    <w:name w:val="toc 3"/>
    <w:basedOn w:val="Normal"/>
    <w:next w:val="Normal"/>
    <w:autoRedefine/>
    <w:uiPriority w:val="39"/>
    <w:unhideWhenUsed/>
    <w:rsid w:val="00A77646"/>
    <w:pPr>
      <w:spacing w:after="100"/>
      <w:ind w:left="440"/>
    </w:pPr>
  </w:style>
  <w:style w:type="table" w:styleId="GridTable4-Accent1">
    <w:name w:val="Grid Table 4 Accent 1"/>
    <w:basedOn w:val="TableNormal"/>
    <w:uiPriority w:val="49"/>
    <w:rsid w:val="00B05C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B05C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6208DA"/>
    <w:rPr>
      <w:color w:val="3591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7267">
      <w:bodyDiv w:val="1"/>
      <w:marLeft w:val="0"/>
      <w:marRight w:val="0"/>
      <w:marTop w:val="0"/>
      <w:marBottom w:val="0"/>
      <w:divBdr>
        <w:top w:val="none" w:sz="0" w:space="0" w:color="auto"/>
        <w:left w:val="none" w:sz="0" w:space="0" w:color="auto"/>
        <w:bottom w:val="none" w:sz="0" w:space="0" w:color="auto"/>
        <w:right w:val="none" w:sz="0" w:space="0" w:color="auto"/>
      </w:divBdr>
    </w:div>
    <w:div w:id="1525316964">
      <w:bodyDiv w:val="1"/>
      <w:marLeft w:val="0"/>
      <w:marRight w:val="0"/>
      <w:marTop w:val="0"/>
      <w:marBottom w:val="0"/>
      <w:divBdr>
        <w:top w:val="none" w:sz="0" w:space="0" w:color="auto"/>
        <w:left w:val="none" w:sz="0" w:space="0" w:color="auto"/>
        <w:bottom w:val="none" w:sz="0" w:space="0" w:color="auto"/>
        <w:right w:val="none" w:sz="0" w:space="0" w:color="auto"/>
      </w:divBdr>
      <w:divsChild>
        <w:div w:id="2053922054">
          <w:marLeft w:val="0"/>
          <w:marRight w:val="0"/>
          <w:marTop w:val="0"/>
          <w:marBottom w:val="0"/>
          <w:divBdr>
            <w:top w:val="none" w:sz="0" w:space="0" w:color="auto"/>
            <w:left w:val="none" w:sz="0" w:space="0" w:color="auto"/>
            <w:bottom w:val="none" w:sz="0" w:space="0" w:color="auto"/>
            <w:right w:val="none" w:sz="0" w:space="0" w:color="auto"/>
          </w:divBdr>
          <w:divsChild>
            <w:div w:id="558975835">
              <w:marLeft w:val="0"/>
              <w:marRight w:val="0"/>
              <w:marTop w:val="0"/>
              <w:marBottom w:val="0"/>
              <w:divBdr>
                <w:top w:val="none" w:sz="0" w:space="0" w:color="auto"/>
                <w:left w:val="none" w:sz="0" w:space="0" w:color="auto"/>
                <w:bottom w:val="none" w:sz="0" w:space="0" w:color="auto"/>
                <w:right w:val="none" w:sz="0" w:space="0" w:color="auto"/>
              </w:divBdr>
              <w:divsChild>
                <w:div w:id="163205665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tranet.shoreline.edu/strategic-planning-committee/2015-2016-budget-proces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09D10-CB0F-40C8-88AD-544DD2D5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Maring, Bayta</dc:creator>
  <cp:keywords/>
  <dc:description/>
  <cp:lastModifiedBy>Aydelotte, Jenifer</cp:lastModifiedBy>
  <cp:revision>3</cp:revision>
  <cp:lastPrinted>2015-09-10T19:08:00Z</cp:lastPrinted>
  <dcterms:created xsi:type="dcterms:W3CDTF">2019-08-29T16:50:00Z</dcterms:created>
  <dcterms:modified xsi:type="dcterms:W3CDTF">2019-08-29T16:55:00Z</dcterms:modified>
</cp:coreProperties>
</file>